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1D" w:rsidRPr="006F2CA2" w:rsidRDefault="00D76B1D" w:rsidP="00D76B1D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GUID=31aca2d3-7bfa-4b60-b91d-41f8fe0e1b0e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bookmarkStart w:id="0" w:name="_GoBack"/>
      <w:bookmarkEnd w:id="0"/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30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GUID=bd653694-f5a5-429c-a732-b4b8d3022c6f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95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GUID=bb8bec47-266e-4442-b9b7-ab9add3ec72f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(INTERIM JUDGMENT FORM)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GUID=69971552-b589-4fa4-930d-6978a33a4706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GUID=dcaba7c8-b134-402f-bebf-b5e991f00043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GUID=97eb3468-23e7-4467-9314-42103888b888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GUID=5046b902-a1a3-4292-9793-d48c931680d6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GUID=1850592d-234c-43dc-b97e-eaeef7cc0a4a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GUID=e405ebb0-461b-4832-90b6-3ecc0dd9905f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GUID=a6ede148-2da4-4ad6-ae37-c83417e85e08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GUID=d247000b-c14a-44cc-b189-969efc1d66d4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INTERIM JUDGMENT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GUID=b32b60c8-c381-4608-bd9e-77870839b951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Particulars of Marriage to which this Interim Judgment Relates (the Marriage)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GUID=f8cefaa0-bc79-4e91-825b-b0078520ed45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 and place of solemnization of marriage: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GUID=3ae1e0e5-3ea2-4e0f-a97a-d9e295a1b35c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 and place of registration of marriage: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GUID=6fa742b9-4bda-4000-98ee-b758b644a6a6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Interim Judgment Granted in Open Court/Chambers*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GUID=a1b14bad-c3f6-4158-b3b9-f9f03b98fc9b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present: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Choose one or more of the following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GUID=301b47a4-05f7-4cdd-a380-3546340b0f39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GUID=bb65d1a0-ff73-4292-82d8-8081353f2d88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Plaintiff’s Counsel*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GUID=c37c6486-184f-487e-8ae5-963f1e9bc26b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(iii)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GUID=360e4d75-a5cd-4589-b98d-125d52cdd943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Defendant’s Counsel*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GUID=3f8b08dc-e416-44ce-acd6-2015815b03fd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(v)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Other Party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]*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GUID=e0b42423-2e20-4a26-866b-9a64a4d5c56a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Pronouncement by the Judge: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GUID=7c6a0a78-9cad-4a5d-911b-ba1b03983b24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(i)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Plaintiff has sufficiently proven the contents of the Statement of Claim;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GUID=0073eb89-2218-4078-bf7d-b61e5badf6f6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Defendant has sufficiently proven the contents of the Counterclaim;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GUID=a461aee9-7b19-4b5d-9c6f-1d3d4046a994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*That the Plaintiff has sufficiently proven the contents of the Statement of Claim and that the Defendant has sufficiently proven the contents of the Counterclaim; and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19"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GUID=af9ed9a2-0aaf-45aa-96c2-ca14df6e82c5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(ii)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ab/>
              <w:t>that the Marriage is dissolved by reason that/is declared void by virtue of*: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GUID=183b5849-d923-4e8c-8004-6cc351317f09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To set out ground of divorce in the Statement of Claim/Counterclaim/Statement of Claim and Counterclaim* respectively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]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GUID=5f4abac1-765d-40cd-9ee4-38a292ed8786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ab/>
              <w:t>OR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GUID=782845eb-f17f-4217-846d-444af5af8452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ab/>
              <w:t>That the Defendant be presumed dead and that the Marriage is dissolved* unless sufficient cause be shown to the court within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to set out the number of weeks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/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months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] from the date of this Judgment why the said Judgment should not be made Final.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GUID=5a9bd7cc-def1-4a79-8e92-cdc501db49eb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3.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Further Orders Made (if applicable) (By Consent*)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GUID=63b9a813-f670-4632-b62d-b422439fdd38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set out any further orders which were made at the hearing of the Interim Judgment, including consent orders on ancillary matters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D76B1D" w:rsidRPr="006F2CA2" w:rsidTr="00B26ACC">
        <w:trPr>
          <w:cantSplit/>
          <w:trHeight w:val="320"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GUID=01f833b2-46f1-427c-bf33-80ba786f4449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Insert Form 136 in Appendix A of the Practice Directions, if necessary.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D76B1D" w:rsidRPr="006F2CA2" w:rsidTr="00B26ACC">
        <w:trPr>
          <w:cantSplit/>
          <w:jc w:val="center"/>
        </w:trPr>
        <w:tc>
          <w:tcPr>
            <w:tcW w:w="7120" w:type="dxa"/>
          </w:tcPr>
          <w:p w:rsidR="00D76B1D" w:rsidRPr="006F2CA2" w:rsidRDefault="00D76B1D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GUID=fbcc5a8a-5b12-442c-b15a-dc59d40b10e3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*Delete where inapplicable.</w:t>
            </w:r>
          </w:p>
        </w:tc>
      </w:tr>
    </w:tbl>
    <w:p w:rsidR="00F3467F" w:rsidRPr="00D76B1D" w:rsidRDefault="00F3467F" w:rsidP="00D76B1D"/>
    <w:sectPr w:rsidR="00F3467F" w:rsidRPr="00D76B1D" w:rsidSect="003D5B2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8"/>
    <w:rsid w:val="003D5B28"/>
    <w:rsid w:val="00524B8A"/>
    <w:rsid w:val="00895C39"/>
    <w:rsid w:val="00D76B1D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7B07"/>
  <w15:chartTrackingRefBased/>
  <w15:docId w15:val="{EDE54952-CDD9-4D64-8F4C-25FDECB8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2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2019-05-08T07:14:00Z</dcterms:created>
  <dcterms:modified xsi:type="dcterms:W3CDTF">2019-05-08T07:14:00Z</dcterms:modified>
</cp:coreProperties>
</file>