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240" w:line="240" w:lineRule="auto"/>
        <w:jc w:val="center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rtl w:val="0"/>
        </w:rPr>
        <w:t xml:space="preserve">FORM 4 </w:t>
      </w:r>
    </w:p>
    <w:tbl>
      <w:tblPr>
        <w:tblStyle w:val="Table1"/>
        <w:tblW w:w="7120.0" w:type="dxa"/>
        <w:jc w:val="center"/>
        <w:tblLayout w:type="fixed"/>
        <w:tblLook w:val="0400"/>
      </w:tblPr>
      <w:tblGrid>
        <w:gridCol w:w="7120"/>
        <w:tblGridChange w:id="0">
          <w:tblGrid>
            <w:gridCol w:w="712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R. 41, 42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(SUMMONS FORM)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FAMILY JUSTICE COURTS OF THE REPUBLIC OF SINGAPORE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No.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Between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Plaintiff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Defendant’s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 (ID No.      )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Defendant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SUMMONS (EX-PARTE*)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  <w:tab/>
              <w:t xml:space="preserve">Orders Applied For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  <w:tab/>
              <w:t xml:space="preserve">Grounds of application</w:t>
            </w:r>
          </w:p>
          <w:p w:rsidR="00000000" w:rsidDel="00000000" w:rsidP="00000000" w:rsidRDefault="00000000" w:rsidRPr="00000000" w14:paraId="0000000E">
            <w:pPr>
              <w:spacing w:after="60" w:before="60" w:line="240" w:lineRule="auto"/>
              <w:ind w:left="475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Choose one of the following.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60" w:before="60" w:line="240" w:lineRule="auto"/>
              <w:ind w:left="940" w:hanging="53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The grounds of the application are set out in the affidavit(s)* filed in support of this application.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after="60" w:before="60" w:line="240" w:lineRule="auto"/>
              <w:ind w:left="940" w:hanging="533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  <w:tab/>
              <w:t xml:space="preserve">The grounds of the application are set out herein.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  <w:tab/>
              <w:t xml:space="preserve">Party Filing this Summons (e.g. Plaintiff, Defendant, Co-Defendant, etc.)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  <w:tab/>
              <w:t xml:space="preserve">Party/Parties* to be Served with this Summons (e.g. Plaintiff, Defendant, Co-Defendant, etc.)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  <w:tab/>
              <w:t xml:space="preserve">Consent*</w:t>
            </w:r>
          </w:p>
          <w:p w:rsidR="00000000" w:rsidDel="00000000" w:rsidP="00000000" w:rsidRDefault="00000000" w:rsidRPr="00000000" w14:paraId="00000014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I hereby consent to this Summons. I acknowledge that I have considered the terms of the agreement and have been informed of my right to seek independent legal advice./We hereby consent to this Summons.*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Signature:</w:t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Name and ID No. of Party consenting to this Summons/Name of the Solicitor of Party consenting to this Summons*:</w:t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ind w:left="47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Date: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Summons is taken out by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name of party taking out this summons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 state Plaintiff’s solicitor’s name and name and address of law firm (if Plaintiff represented by solicitor) or Plaintiff’s address for service in Singapore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*Delete where inapplicable.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40" w:lineRule="auto"/>
        <w:jc w:val="both"/>
        <w:rPr>
          <w:rFonts w:ascii="Times New Roman" w:cs="Times New Roman" w:eastAsia="Times New Roman" w:hAnsi="Times New Roman"/>
          <w:smallCaps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