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sz w:val="20"/>
        </w:rPr>
        <w:t>看拼音写词语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rPr>
          <w:trHeight w:val="397"/>
        </w:trPr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luò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xià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dì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luò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xià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16"/>
              </w:rPr>
              <w:t>zhuāng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16"/>
              </w:rPr>
              <w:t>zhuāng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cūn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16"/>
              </w:rPr>
              <w:t>zhuāng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luò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yáng</w:t>
            </w:r>
          </w:p>
        </w:tc>
      </w:tr>
      <w:tr>
        <w:trPr>
          <w:trHeight w:val="397"/>
        </w:trPr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rPr>
          <w:trHeight w:val="397"/>
        </w:trPr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luò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yáng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yě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wú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dì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jī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nián</w:t>
            </w:r>
          </w:p>
        </w:tc>
      </w:tr>
      <w:tr>
        <w:trPr>
          <w:trHeight w:val="397"/>
        </w:trPr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97"/>
        </w:trPr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huāng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nián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shuō</w:t>
            </w:r>
          </w:p>
        </w:tc>
        <w:tc>
          <w:tcPr>
            <w:tcW w:type="dxa" w:w="624"/>
          </w:tcPr>
          <w:p>
            <w:pPr>
              <w:spacing w:after="0"/>
              <w:jc w:val="center"/>
            </w:pPr>
            <w:r>
              <w:rPr>
                <w:sz w:val="20"/>
              </w:rPr>
              <w:t>huǎng</w:t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sz w:val="20"/>
              </w:rPr>
            </w:r>
          </w:p>
        </w:tc>
      </w:tr>
      <w:tr>
        <w:trPr>
          <w:trHeight w:val="397"/>
        </w:trPr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624"/>
            <w:tcBorders>
              <w:bottom w:sz="3" w:val="single" w:color="#FF0000" w:space="0"/>
            </w:tcBorders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  <w:tc>
          <w:tcPr>
            <w:tcW w:type="dxa" w:w="125"/>
          </w:tcPr>
          <w:p>
            <w:pPr>
              <w:spacing w:after="0"/>
              <w:jc w:val="center"/>
            </w:pPr>
            <w:r>
              <w:rPr>
                <w:rFonts w:ascii="楷体" w:hAnsi="楷体" w:eastAsia="楷体"/>
                <w:sz w:val="22"/>
              </w:rPr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