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Arial" w:cs="Arial" w:eastAsia="黑体" w:hAnsi="Arial"/>
          <w:b/>
          <w:bCs/>
          <w:color w:val="000000"/>
          <w:sz w:val="32"/>
          <w:szCs w:val="32"/>
        </w:rPr>
        <w:t xml:space="preserve">目　录</w:t>
      </w:r>
    </w:p>
    <w:sdt>
      <w:sdtPr>
        <w:alias w:val="目录"/>
      </w:sdtPr>
      <w:sdtContent>
        <w:p>
          <w:pPr>
            <w:pStyle w:val="TOC1"/>
            <w:tabs>
              <w:tab w:val="right" w:pos="8845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oc14">
            <w:r>
              <w:t xml:space="preserve">一、检查范围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845" w:leader="dot"/>
            </w:tabs>
          </w:pPr>
          <w:hyperlink w:history="1" w:anchor="_Toc15">
            <w:r>
              <w:t xml:space="preserve">二、检查内容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5" w:leader="dot"/>
            </w:tabs>
            <w:ind w:left="220"/>
          </w:pPr>
          <w:hyperlink w:history="1" w:anchor="_Toc16">
            <w:r>
              <w:t xml:space="preserve">（一）消防安全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5" w:leader="dot"/>
            </w:tabs>
            <w:ind w:left="220"/>
          </w:pPr>
          <w:hyperlink w:history="1" w:anchor="_Toc17">
            <w:r>
              <w:t xml:space="preserve">（二）用电安全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845" w:leader="dot"/>
            </w:tabs>
            <w:ind w:left="220"/>
          </w:pPr>
          <w:hyperlink w:history="1" w:anchor="_Toc18">
            <w:r>
              <w:t xml:space="preserve">（三）安全管理制度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845" w:leader="dot"/>
            </w:tabs>
          </w:pPr>
          <w:hyperlink w:history="1" w:anchor="_Toc19">
            <w:r>
              <w:t xml:space="preserve">三、工作要求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ectPr>
          <w:footerReference w:type="default" r:id="rId6"/>
          <w:pgSz w:w="11906" w:h="16838" w:orient="portrait"/>
          <w:pgMar w:top="2098" w:right="1474" w:bottom="1984" w:left="1587" w:header="850" w:footer="1587" w:gutter="0"/>
          <w:pgNumType/>
          <w:titlePg w:val="false"/>
          <w:docGrid w:linePitch="360"/>
        </w:sectPr>
      </w:pPr>
      <w:r>
        <w:br w:type="page"/>
      </w:r>
    </w:p>
    <w:p>
      <w:pPr>
        <w:pStyle w:val="Title"/>
        <w:jc w:val="center"/>
      </w:pPr>
      <w:r>
        <w:t xml:space="preserve">关于开展 2026 年秋季安全生产大检查的通知</w:t>
      </w:r>
    </w:p>
    <w:p>
      <w:pPr>
        <w:ind w:firstLineChars="200"/>
        <w:jc w:val="both"/>
      </w:pPr>
      <w:r>
        <w:t xml:space="preserve">各部门、各分公司：</w:t>
      </w:r>
    </w:p>
    <w:p>
      <w:pPr>
        <w:ind w:firstLineChars="200"/>
        <w:jc w:val="both"/>
      </w:pPr>
      <w:r>
        <w:t xml:space="preserve">为切实做好秋季安全生产工作，防范和遏制各类安全事故，经研究，决定于 2026 年 10 月 20 日至 11 月 10 日在全公司范围内开展秋季安全生产大检查。现将有关事项通知如下。</w:t>
      </w:r>
    </w:p>
    <w:p>
      <w:pPr>
        <w:pStyle w:val="Heading1"/>
      </w:pPr>
      <w:bookmarkStart w:name="_Toc14" w:id="14"/>
      <w:r>
        <w:t xml:space="preserve">一、检查范围</w:t>
      </w:r>
      <w:bookmarkEnd w:id="14"/>
    </w:p>
    <w:p>
      <w:pPr>
        <w:ind w:firstLineChars="200"/>
        <w:jc w:val="both"/>
      </w:pPr>
      <w:r>
        <w:t xml:space="preserve">公司本部及所属各分公司的办公区域、生产车间、仓库、机房、食堂和员工宿舍。</w:t>
      </w:r>
    </w:p>
    <w:p>
      <w:pPr>
        <w:pStyle w:val="Heading1"/>
      </w:pPr>
      <w:bookmarkStart w:name="_Toc15" w:id="15"/>
      <w:r>
        <w:t xml:space="preserve">二、检查内容</w:t>
      </w:r>
      <w:bookmarkEnd w:id="15"/>
    </w:p>
    <w:p>
      <w:pPr>
        <w:pStyle w:val="Heading2"/>
      </w:pPr>
      <w:bookmarkStart w:name="_Toc16" w:id="16"/>
      <w:r>
        <w:t xml:space="preserve">（一）消防安全</w:t>
      </w:r>
      <w:bookmarkEnd w:id="16"/>
    </w:p>
    <w:p>
      <w:pPr>
        <w:ind w:firstLineChars="200"/>
        <w:jc w:val="both"/>
      </w:pPr>
      <w:r>
        <w:t xml:space="preserve">消防设施是否完好有效，疏散通道是否畅通，易燃易爆物品是否按规定存放。</w:t>
      </w:r>
    </w:p>
    <w:p>
      <w:pPr>
        <w:pStyle w:val="Heading2"/>
      </w:pPr>
      <w:bookmarkStart w:name="_Toc17" w:id="17"/>
      <w:r>
        <w:t xml:space="preserve">（二）用电安全</w:t>
      </w:r>
      <w:bookmarkEnd w:id="17"/>
    </w:p>
    <w:p>
      <w:pPr>
        <w:ind w:firstLineChars="200"/>
        <w:jc w:val="both"/>
      </w:pPr>
      <w:r>
        <w:t xml:space="preserve">配电设施是否定期维护，是否存在私拉乱接电线、超负荷用电等情况。</w:t>
      </w:r>
    </w:p>
    <w:p>
      <w:pPr>
        <w:pStyle w:val="Heading2"/>
      </w:pPr>
      <w:bookmarkStart w:name="_Toc18" w:id="18"/>
      <w:r>
        <w:t xml:space="preserve">（三）安全管理制度</w:t>
      </w:r>
      <w:bookmarkEnd w:id="18"/>
    </w:p>
    <w:p>
      <w:pPr>
        <w:ind w:firstLineChars="200"/>
        <w:jc w:val="both"/>
      </w:pPr>
      <w:r>
        <w:t xml:space="preserve">安全责任是否落实到人，应急预案是否完善并定期演练。</w:t>
      </w:r>
    </w:p>
    <w:p>
      <w:pPr>
        <w:pStyle w:val="Heading1"/>
      </w:pPr>
      <w:bookmarkStart w:name="_Toc19" w:id="19"/>
      <w:r>
        <w:t xml:space="preserve">三、工作要求</w:t>
      </w:r>
      <w:bookmarkEnd w:id="19"/>
    </w:p>
    <w:p>
      <w:pPr>
        <w:pStyle w:val="ListParagraph"/>
        <w:numPr>
          <w:ilvl w:val="0"/>
          <w:numId w:val="2"/>
        </w:numPr>
        <w:spacing w:after="60"/>
      </w:pPr>
      <w:r>
        <w:t xml:space="preserve">各部门要高度重视，主要负责人亲自部署，于 10 月 25 日前完成自查。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对检查发现的问题要建立台账，明确整改责任人和整改时限。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各部门于 11 月 12 日前将检查总结报送安全管理办公室。</w:t>
      </w:r>
    </w:p>
    <w:p>
      <w:pPr>
        <w:ind w:firstLineChars="200"/>
        <w:jc w:val="both"/>
      </w:pPr>
      <w:r>
        <w:t xml:space="preserve">联系人：张伟，电话：010-12345678。</w:t>
      </w:r>
    </w:p>
    <w:p>
      <w:pPr>
        <w:ind w:firstLineChars="200"/>
        <w:jc w:val="both"/>
      </w:pPr>
      <w:r>
        <w:t xml:space="preserve">公司办公室</w:t>
      </w:r>
      <w:r>
        <w:br/>
      </w:r>
      <w:r>
        <w:t xml:space="preserve">2026 年 10 月 14 日</w:t>
      </w:r>
    </w:p>
    <w:sectPr>
      <w:footerReference w:type="default" r:id="rId7"/>
      <w:pgSz w:w="11906" w:h="16838" w:orient="portrait"/>
      <w:pgMar w:top="2098" w:right="1474" w:bottom="1984" w:left="1587" w:header="850" w:footer="1587" w:gutter="0"/>
      <w:pgNumType w:start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mbria" w:cs="Cambria" w:eastAsia="宋体" w:hAnsi="Cambria"/>
        <w:sz w:val="28"/>
        <w:szCs w:val="28"/>
      </w:rPr>
      <w:t xml:space="preserve">— </w:t>
      <w:fldChar w:fldCharType="begin"/>
      <w:instrText xml:space="preserve">PAGE</w:instrText>
      <w:fldChar w:fldCharType="separate"/>
      <w:fldChar w:fldCharType="end"/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suff w:val="tab"/>
      <w:lvlText w:val="●"/>
      <w:lvlJc w:val="left"/>
      <w:pPr>
        <w:ind w:left="420" w:hanging="420"/>
      </w:pPr>
      <w:rPr>
        <w:rFonts w:ascii="Arial" w:eastAsia="宋体" w:hAnsi="Arial"/>
        <w:color w:val="000000"/>
        <w:sz w:val="22"/>
        <w:szCs w:val="22"/>
      </w:rPr>
    </w:lvl>
    <w:lvl w:ilvl="1" w:tentative="1">
      <w:start w:val="1"/>
      <w:numFmt w:val="bullet"/>
      <w:suff w:val="tab"/>
      <w:lvlText w:val="○"/>
      <w:lvlJc w:val="left"/>
      <w:pPr>
        <w:ind w:left="840" w:hanging="420"/>
      </w:pPr>
      <w:rPr>
        <w:rFonts w:ascii="Arial" w:eastAsia="宋体" w:hAnsi="Arial"/>
        <w:color w:val="000000"/>
        <w:sz w:val="26"/>
        <w:szCs w:val="26"/>
      </w:rPr>
    </w:lvl>
    <w:lvl w:ilvl="2" w:tentative="1">
      <w:start w:val="1"/>
      <w:numFmt w:val="bullet"/>
      <w:suff w:val="tab"/>
      <w:lvlText w:val="■"/>
      <w:lvlJc w:val="left"/>
      <w:pPr>
        <w:ind w:left="1260" w:hanging="420"/>
      </w:pPr>
      <w:rPr>
        <w:rFonts w:ascii="Arial" w:eastAsia="宋体" w:hAnsi="Arial"/>
        <w:color w:val="000000"/>
        <w:sz w:val="26"/>
        <w:szCs w:val="26"/>
      </w:rPr>
    </w:lvl>
    <w:lvl w:ilvl="3" w:tentative="1">
      <w:start w:val="1"/>
      <w:numFmt w:val="bullet"/>
      <w:suff w:val="tab"/>
      <w:lvlText w:val="●"/>
      <w:lvlJc w:val="left"/>
      <w:pPr>
        <w:ind w:left="1680" w:hanging="420"/>
      </w:pPr>
      <w:rPr>
        <w:rFonts w:ascii="Arial" w:eastAsia="宋体" w:hAnsi="Arial"/>
        <w:color w:val="000000"/>
        <w:sz w:val="22"/>
        <w:szCs w:val="22"/>
      </w:rPr>
    </w:lvl>
    <w:lvl w:ilvl="4" w:tentative="1">
      <w:start w:val="1"/>
      <w:numFmt w:val="bullet"/>
      <w:suff w:val="tab"/>
      <w:lvlText w:val="○"/>
      <w:lvlJc w:val="left"/>
      <w:pPr>
        <w:ind w:left="2100" w:hanging="420"/>
      </w:pPr>
      <w:rPr>
        <w:rFonts w:ascii="Arial" w:eastAsia="宋体" w:hAnsi="Arial"/>
        <w:color w:val="000000"/>
        <w:sz w:val="26"/>
        <w:szCs w:val="26"/>
      </w:rPr>
    </w:lvl>
    <w:lvl w:ilvl="5" w:tentative="1">
      <w:start w:val="1"/>
      <w:numFmt w:val="bullet"/>
      <w:suff w:val="tab"/>
      <w:lvlText w:val="■"/>
      <w:lvlJc w:val="left"/>
      <w:pPr>
        <w:ind w:left="2520" w:hanging="420"/>
      </w:pPr>
      <w:rPr>
        <w:rFonts w:ascii="Arial" w:eastAsia="宋体" w:hAnsi="Arial"/>
        <w:color w:val="000000"/>
        <w:sz w:val="26"/>
        <w:szCs w:val="26"/>
      </w:rPr>
    </w:lvl>
    <w:lvl w:ilvl="6" w:tentative="1">
      <w:start w:val="1"/>
      <w:numFmt w:val="bullet"/>
      <w:suff w:val="tab"/>
      <w:lvlText w:val="●"/>
      <w:lvlJc w:val="left"/>
      <w:pPr>
        <w:ind w:left="2940" w:hanging="420"/>
      </w:pPr>
      <w:rPr>
        <w:rFonts w:ascii="Arial" w:eastAsia="宋体" w:hAnsi="Arial"/>
        <w:color w:val="000000"/>
        <w:sz w:val="22"/>
        <w:szCs w:val="22"/>
      </w:rPr>
    </w:lvl>
    <w:lvl w:ilvl="7" w:tentative="1">
      <w:start w:val="1"/>
      <w:numFmt w:val="bullet"/>
      <w:suff w:val="tab"/>
      <w:lvlText w:val="○"/>
      <w:lvlJc w:val="left"/>
      <w:pPr>
        <w:ind w:left="3360" w:hanging="420"/>
      </w:pPr>
      <w:rPr>
        <w:rFonts w:ascii="Arial" w:eastAsia="宋体" w:hAnsi="Arial"/>
        <w:color w:val="000000"/>
        <w:sz w:val="26"/>
        <w:szCs w:val="26"/>
      </w:rPr>
    </w:lvl>
    <w:lvl w:ilvl="8" w:tentative="1">
      <w:start w:val="1"/>
      <w:numFmt w:val="bullet"/>
      <w:suff w:val="tab"/>
      <w:lvlText w:val="■"/>
      <w:lvlJc w:val="left"/>
      <w:pPr>
        <w:ind w:left="3780" w:hanging="420"/>
      </w:pPr>
      <w:rPr>
        <w:rFonts w:ascii="Arial" w:eastAsia="宋体" w:hAnsi="Arial"/>
        <w:color w:val="000000"/>
        <w:sz w:val="26"/>
        <w:szCs w:val="26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suff w:val="tab"/>
      <w:lvlText w:val="%1."/>
      <w:lvlJc w:val="left"/>
      <w:pPr>
        <w:ind w:left="420" w:hanging="420"/>
      </w:pPr>
    </w:lvl>
    <w:lvl w:ilvl="1" w:tentative="1">
      <w:start w:val="1"/>
      <w:numFmt w:val="decimal"/>
      <w:suff w:val="tab"/>
      <w:lvlText w:val="(%2)"/>
      <w:lvlJc w:val="left"/>
      <w:pPr>
        <w:ind w:left="840" w:hanging="420"/>
      </w:pPr>
    </w:lvl>
    <w:lvl w:ilvl="2" w:tentative="1">
      <w:start w:val="1"/>
      <w:numFmt w:val="decimalEnclosedCircle"/>
      <w:suff w:val="tab"/>
      <w:lvlText w:val="%3"/>
      <w:lvlJc w:val="left"/>
      <w:pPr>
        <w:ind w:left="1260" w:hanging="420"/>
      </w:pPr>
    </w:lvl>
    <w:lvl w:ilvl="3" w:tentative="1">
      <w:start w:val="1"/>
      <w:numFmt w:val="lowerLetter"/>
      <w:suff w:val="tab"/>
      <w:lvlText w:val="%4."/>
      <w:lvlJc w:val="left"/>
      <w:pPr>
        <w:ind w:left="1680" w:hanging="420"/>
      </w:pPr>
    </w:lvl>
    <w:lvl w:ilvl="4" w:tentative="1">
      <w:start w:val="1"/>
      <w:numFmt w:val="lowerRoman"/>
      <w:suff w:val="tab"/>
      <w:lvlText w:val="%5."/>
      <w:lvlJc w:val="left"/>
      <w:pPr>
        <w:ind w:left="2100" w:hanging="420"/>
      </w:pPr>
    </w:lvl>
    <w:lvl w:ilvl="5" w:tentative="1">
      <w:start w:val="1"/>
      <w:numFmt w:val="decimal"/>
      <w:suff w:val="tab"/>
      <w:lvlText w:val="%6."/>
      <w:lvlJc w:val="left"/>
      <w:pPr>
        <w:ind w:left="2520" w:hanging="420"/>
      </w:pPr>
    </w:lvl>
    <w:lvl w:ilvl="6" w:tentative="1">
      <w:start w:val="1"/>
      <w:numFmt w:val="decimal"/>
      <w:suff w:val="tab"/>
      <w:lvlText w:val="%7."/>
      <w:lvlJc w:val="left"/>
      <w:pPr>
        <w:ind w:left="2940" w:hanging="420"/>
      </w:pPr>
    </w:lvl>
    <w:lvl w:ilvl="7" w:tentative="1">
      <w:start w:val="1"/>
      <w:numFmt w:val="decimal"/>
      <w:suff w:val="tab"/>
      <w:lvlText w:val="%8."/>
      <w:lvlJc w:val="left"/>
      <w:pPr>
        <w:ind w:left="3360" w:hanging="420"/>
      </w:pPr>
    </w:lvl>
    <w:lvl w:ilvl="8" w:tentative="1">
      <w:start w:val="1"/>
      <w:numFmt w:val="decimal"/>
      <w:suff w:val="tab"/>
      <w:lvlText w:val="%9."/>
      <w:lvlJc w:val="left"/>
      <w:pPr>
        <w:ind w:left="3780" w:hanging="4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仿宋" w:hAnsi="Times New Roman"/>
        <w:color w:val="000000"/>
        <w:sz w:val="32"/>
        <w:szCs w:val="32"/>
      </w:rPr>
    </w:rPrDefault>
    <w:pPrDefault>
      <w:pPr>
        <w:spacing w:after="0" w:line="579" w:lineRule="exact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keepNext/>
      <w:keepLines/>
      <w:spacing w:after="360" w:before="0" w:line="579" w:lineRule="exact"/>
      <w:jc w:val="center"/>
    </w:pPr>
    <w:rPr>
      <w:rFonts w:ascii="Times New Roman" w:cs="Times New Roman" w:eastAsia="方正小标宋简体" w:hAnsi="Times New Roman"/>
      <w:b/>
      <w:bCs/>
      <w:color w:val="000000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keepLines/>
      <w:spacing w:after="180" w:before="360" w:line="579" w:lineRule="exact"/>
      <w:outlineLvl w:val="0"/>
    </w:pPr>
    <w:rPr>
      <w:rFonts w:ascii="Arial" w:cs="Arial" w:eastAsia="黑体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40" w:line="579" w:lineRule="exact"/>
      <w:outlineLvl w:val="1"/>
    </w:pPr>
    <w:rPr>
      <w:rFonts w:ascii="Times New Roman" w:cs="Times New Roman" w:eastAsia="楷体" w:hAnsi="Times New Roman"/>
      <w:b w:val="false"/>
      <w:bCs w:val="false"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40" w:line="579" w:lineRule="exact"/>
      <w:outlineLvl w:val="2"/>
    </w:pPr>
    <w:rPr>
      <w:rFonts w:ascii="Times New Roman" w:cs="Times New Roman" w:eastAsia="仿宋" w:hAnsi="Times New Roman"/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after="60" w:before="120" w:line="579" w:lineRule="exact"/>
      <w:outlineLvl w:val="3"/>
    </w:pPr>
    <w:rPr>
      <w:rFonts w:ascii="Arial" w:cs="Arial" w:eastAsia="黑体" w:hAnsi="Arial"/>
      <w:b/>
      <w:bCs/>
      <w:color w:val="000000"/>
      <w:sz w:val="32"/>
      <w:szCs w:val="32"/>
    </w:rPr>
  </w:style>
  <w:style w:type="paragraph" w:styleId="Heading5">
    <w:name w:val="heading 5"/>
    <w:basedOn w:val="Normal"/>
    <w:next w:val="Normal"/>
    <w:qFormat/>
    <w:pPr>
      <w:keepNext/>
      <w:keepLines/>
      <w:spacing w:after="60" w:before="120" w:line="579" w:lineRule="exact"/>
      <w:outlineLvl w:val="4"/>
    </w:pPr>
    <w:rPr>
      <w:rFonts w:ascii="Arial" w:cs="Arial" w:eastAsia="黑体" w:hAnsi="Arial"/>
      <w:b w:val="false"/>
      <w:bCs w:val="false"/>
      <w:color w:val="000000"/>
      <w:sz w:val="32"/>
      <w:szCs w:val="32"/>
    </w:rPr>
  </w:style>
  <w:style w:type="paragraph" w:styleId="Heading6">
    <w:name w:val="heading 6"/>
    <w:basedOn w:val="Normal"/>
    <w:next w:val="Normal"/>
    <w:qFormat/>
    <w:pPr>
      <w:keepNext/>
      <w:keepLines/>
      <w:spacing w:after="60" w:before="120" w:line="579" w:lineRule="exact"/>
      <w:outlineLvl w:val="5"/>
    </w:pPr>
    <w:rPr>
      <w:rFonts w:ascii="Arial" w:cs="Arial" w:eastAsia="黑体" w:hAnsi="Arial"/>
      <w:b w:val="false"/>
      <w:bCs w:val="false"/>
      <w:color w:val="000000"/>
      <w:sz w:val="32"/>
      <w:szCs w:val="3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关于开展 2026 年秋季安全生产大检查的通知</dc:title>
  <dc:creator>贾维斯</dc:creator>
  <cp:lastModifiedBy>Un-named</cp:lastModifiedBy>
  <cp:revision>1</cp:revision>
  <dcterms:created xsi:type="dcterms:W3CDTF">2026-10-14T08:58:24.794Z</dcterms:created>
  <dcterms:modified xsi:type="dcterms:W3CDTF">2026-10-14T08:58:24.794Z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