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400"/>
        <w:jc w:val="center"/>
      </w:pPr>
      <w:r>
        <w:rPr>
          <w:rFonts w:ascii="Calibri" w:cs="Calibri" w:eastAsia="微软雅黑" w:hAnsi="Calibri"/>
          <w:b/>
          <w:bCs/>
          <w:color w:val="1A2332"/>
          <w:sz w:val="56"/>
          <w:szCs w:val="56"/>
        </w:rPr>
        <w:t xml:space="preserve">智慧园区一期建设项目方案</w:t>
      </w:r>
    </w:p>
    <w:p>
      <w:pPr>
        <w:spacing w:after="240"/>
        <w:jc w:val="center"/>
      </w:pPr>
      <w:r>
        <w:rPr>
          <w:rFonts w:ascii="Calibri" w:cs="Calibri" w:eastAsia="微软雅黑" w:hAnsi="Calibri"/>
          <w:color w:val="2D8B8B"/>
          <w:sz w:val="32"/>
          <w:szCs w:val="32"/>
        </w:rPr>
        <w:t xml:space="preserve">（征求意见稿）</w:t>
      </w:r>
    </w:p>
    <w:p>
      <w:pPr>
        <w:pBdr>
          <w:bottom w:val="single" w:color="2D8B8B" w:sz="12" w:space="1"/>
        </w:pBdr>
        <w:ind w:left="3000" w:right="3000"/>
        <w:jc w:val="center"/>
      </w:pPr>
    </w:p>
    <w:p>
      <w:pPr>
        <w:spacing w:after="120" w:before="4200"/>
        <w:ind w:firstLine="0"/>
        <w:jc w:val="center"/>
      </w:pPr>
      <w:r>
        <w:rPr>
          <w:rFonts w:ascii="Calibri" w:cs="Calibri" w:eastAsia="微软雅黑" w:hAnsi="Calibri"/>
          <w:sz w:val="28"/>
          <w:szCs w:val="28"/>
        </w:rPr>
        <w:t xml:space="preserve">信息中心</w:t>
      </w:r>
    </w:p>
    <w:p>
      <w:pPr>
        <w:spacing w:after="0" w:before="0"/>
        <w:ind w:firstLine="0"/>
        <w:jc w:val="center"/>
      </w:pPr>
      <w:r>
        <w:rPr>
          <w:rFonts w:ascii="Calibri" w:cs="Calibri" w:eastAsia="微软雅黑" w:hAnsi="Calibri"/>
          <w:sz w:val="28"/>
          <w:szCs w:val="28"/>
        </w:rPr>
        <w:t xml:space="preserve">2026 年 10 月 15 日</w:t>
      </w:r>
    </w:p>
    <w:p>
      <w:r>
        <w:br w:type="page"/>
      </w:r>
    </w:p>
    <w:p>
      <w:pPr>
        <w:spacing w:after="240"/>
        <w:jc w:val="center"/>
      </w:pPr>
      <w:r>
        <w:rPr>
          <w:rFonts w:ascii="Calibri" w:cs="Calibri" w:eastAsia="微软雅黑" w:hAnsi="Calibri"/>
          <w:b/>
          <w:bCs/>
          <w:color w:val="1A2332"/>
          <w:sz w:val="36"/>
          <w:szCs w:val="36"/>
        </w:rPr>
        <w:t xml:space="preserve">目　录</w:t>
      </w:r>
    </w:p>
    <w:sdt>
      <w:sdtPr>
        <w:alias w:val="目录"/>
      </w:sdtPr>
      <w:sdtContent>
        <w:p>
          <w:pPr>
            <w:pStyle w:val="TOC1"/>
            <w:tabs>
              <w:tab w:val="right" w:pos="830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6">
            <w:r>
              <w:t xml:space="preserve">一、项目背景与目标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7">
            <w:r>
              <w:t xml:space="preserve">二、现状分析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8">
            <w:r>
              <w:t xml:space="preserve">三、建设内容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300" w:leader="dot"/>
            </w:tabs>
            <w:ind w:left="220"/>
          </w:pPr>
          <w:hyperlink w:history="1" w:anchor="_Toc9">
            <w:r>
              <w:t xml:space="preserve">（一）统一运营平台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300" w:leader="dot"/>
            </w:tabs>
            <w:ind w:left="220"/>
          </w:pPr>
          <w:hyperlink w:history="1" w:anchor="_Toc10">
            <w:r>
              <w:t xml:space="preserve">（二）系统改造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11">
            <w:r>
              <w:t xml:space="preserve">四、实施计划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12">
            <w:r>
              <w:t xml:space="preserve">五、投资预算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13">
            <w:r>
              <w:t xml:space="preserve">六、风险与对策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1440" w:right="1803" w:bottom="1440" w:left="1803" w:header="850" w:footer="850" w:gutter="0"/>
          <w:pgNumType/>
          <w:titlePg w:val="false"/>
          <w:docGrid w:linePitch="360"/>
        </w:sectPr>
      </w:pPr>
      <w:r>
        <w:br w:type="page"/>
      </w:r>
    </w:p>
    <w:p>
      <w:pPr>
        <w:pStyle w:val="Heading1"/>
      </w:pPr>
      <w:bookmarkStart w:name="_Toc6" w:id="6"/>
      <w:r>
        <w:t xml:space="preserve">一、项目背景与目标</w:t>
      </w:r>
      <w:bookmarkEnd w:id="6"/>
    </w:p>
    <w:p>
      <w:pPr>
        <w:ind w:firstLine="480" w:firstLineChars="200"/>
        <w:jc w:val="both"/>
      </w:pPr>
      <w:r>
        <w:t xml:space="preserve">园区现有门禁、停车、能耗三套系统各自独立，数据不通，人工巡检和对账每月耗费约 </w:t>
      </w:r>
      <w:r>
        <w:rPr>
          <w:i/>
          <w:iCs/>
        </w:rPr>
        <w:t xml:space="preserve">120 工时</w:t>
      </w:r>
      <w:r>
        <w:t xml:space="preserve">。本项目建设统一的园区运营平台，目标是：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三套系统数据接入同一平台，实时可查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访客、车辆进出全程线上登记，无需人工核对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能耗异常 5 分钟内自动告警</w:t>
      </w:r>
    </w:p>
    <w:p>
      <w:pPr>
        <w:pStyle w:val="Heading1"/>
      </w:pPr>
      <w:bookmarkStart w:name="_Toc7" w:id="7"/>
      <w:r>
        <w:t xml:space="preserve">二、现状分析</w:t>
      </w:r>
      <w:bookmarkEnd w:id="7"/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"/>
        <w:gridCol w:w="3471"/>
        <w:gridCol w:w="3924"/>
      </w:tblGrid>
      <w:tr>
        <w:trPr>
          <w:cantSplit/>
          <w:tblHeader/>
        </w:trP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系统</w:t>
            </w:r>
          </w:p>
        </w:tc>
        <w:tc>
          <w:tcPr>
            <w:tcW w:type="dxa" w:w="34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现状</w:t>
            </w:r>
          </w:p>
        </w:tc>
        <w:tc>
          <w:tcPr>
            <w:tcW w:type="dxa" w:w="392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主要问题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门禁</w:t>
            </w:r>
          </w:p>
        </w:tc>
        <w:tc>
          <w:tcPr>
            <w:tcW w:type="dxa" w:w="34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2019 年建设，本地服务器</w:t>
            </w:r>
          </w:p>
        </w:tc>
        <w:tc>
          <w:tcPr>
            <w:tcW w:type="dxa" w:w="392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无开放接口，访客需人工登记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停车</w:t>
            </w:r>
          </w:p>
        </w:tc>
        <w:tc>
          <w:tcPr>
            <w:tcW w:type="dxa" w:w="34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第三方云服务</w:t>
            </w:r>
          </w:p>
        </w:tc>
        <w:tc>
          <w:tcPr>
            <w:tcW w:type="dxa" w:w="392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月卡续费与财务手工对账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能耗</w:t>
            </w:r>
          </w:p>
        </w:tc>
        <w:tc>
          <w:tcPr>
            <w:tcW w:type="dxa" w:w="34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电表、水表人工抄表</w:t>
            </w:r>
          </w:p>
        </w:tc>
        <w:tc>
          <w:tcPr>
            <w:tcW w:type="dxa" w:w="392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数据滞后约 1 个月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8" w:id="8"/>
      <w:r>
        <w:t xml:space="preserve">三、建设内容</w:t>
      </w:r>
      <w:bookmarkEnd w:id="8"/>
    </w:p>
    <w:p>
      <w:pPr>
        <w:pStyle w:val="Heading2"/>
      </w:pPr>
      <w:bookmarkStart w:name="_Toc9" w:id="9"/>
      <w:r>
        <w:t xml:space="preserve">（一）统一运营平台</w:t>
      </w:r>
      <w:bookmarkEnd w:id="9"/>
    </w:p>
    <w:p>
      <w:pPr>
        <w:pStyle w:val="ListParagraph"/>
        <w:numPr>
          <w:ilvl w:val="0"/>
          <w:numId w:val="3"/>
        </w:numPr>
        <w:spacing w:after="60"/>
      </w:pPr>
      <w:r>
        <w:t xml:space="preserve">数据中台：汇集门禁、停车、能耗数据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运营看板：大屏 + 手机端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告警中心：短信、企业微信推送</w:t>
      </w:r>
    </w:p>
    <w:p>
      <w:pPr>
        <w:pStyle w:val="Heading2"/>
      </w:pPr>
      <w:bookmarkStart w:name="_Toc10" w:id="10"/>
      <w:r>
        <w:t xml:space="preserve">（二）系统改造</w:t>
      </w:r>
      <w:bookmarkEnd w:id="10"/>
    </w:p>
    <w:p>
      <w:pPr>
        <w:pStyle w:val="ListParagraph"/>
        <w:numPr>
          <w:ilvl w:val="0"/>
          <w:numId w:val="4"/>
        </w:numPr>
        <w:spacing w:after="60"/>
      </w:pPr>
      <w:r>
        <w:t xml:space="preserve">门禁：加装网关，开放接口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停车：对接云服务开放接口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能耗：更换 260 块智能电表、80 块智能水表</w:t>
      </w:r>
    </w:p>
    <w:p>
      <w:pPr>
        <w:pStyle w:val="Heading1"/>
      </w:pPr>
      <w:bookmarkStart w:name="_Toc11" w:id="11"/>
      <w:r>
        <w:t xml:space="preserve">四、实施计划</w:t>
      </w:r>
      <w:bookmarkEnd w:id="11"/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5"/>
        <w:gridCol w:w="1602"/>
        <w:gridCol w:w="3204"/>
        <w:gridCol w:w="2330"/>
      </w:tblGrid>
      <w:tr>
        <w:trPr>
          <w:cantSplit/>
          <w:tblHeader/>
        </w:trPr>
        <w:tc>
          <w:tcPr>
            <w:tcW w:type="dxa" w:w="11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16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时间</w:t>
            </w:r>
          </w:p>
        </w:tc>
        <w:tc>
          <w:tcPr>
            <w:tcW w:type="dxa" w:w="32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主要工作</w:t>
            </w:r>
          </w:p>
        </w:tc>
        <w:tc>
          <w:tcPr>
            <w:tcW w:type="dxa" w:w="23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需求调研</w:t>
            </w:r>
          </w:p>
        </w:tc>
        <w:tc>
          <w:tcPr>
            <w:tcW w:type="dxa" w:w="16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第 1—2 周</w:t>
            </w:r>
          </w:p>
        </w:tc>
        <w:tc>
          <w:tcPr>
            <w:tcW w:type="dxa" w:w="32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访谈各部门，确认需求</w:t>
            </w:r>
          </w:p>
        </w:tc>
        <w:tc>
          <w:tcPr>
            <w:tcW w:type="dxa" w:w="23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需求说明书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平台开发</w:t>
            </w:r>
          </w:p>
        </w:tc>
        <w:tc>
          <w:tcPr>
            <w:tcW w:type="dxa" w:w="16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第 3—10 周</w:t>
            </w:r>
          </w:p>
        </w:tc>
        <w:tc>
          <w:tcPr>
            <w:tcW w:type="dxa" w:w="32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中台、看板、告警开发</w:t>
            </w:r>
          </w:p>
        </w:tc>
        <w:tc>
          <w:tcPr>
            <w:tcW w:type="dxa" w:w="23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测试版本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设备改造</w:t>
            </w:r>
          </w:p>
        </w:tc>
        <w:tc>
          <w:tcPr>
            <w:tcW w:type="dxa" w:w="16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第 6—12 周</w:t>
            </w:r>
          </w:p>
        </w:tc>
        <w:tc>
          <w:tcPr>
            <w:tcW w:type="dxa" w:w="32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网关安装、电表水表更换</w:t>
            </w:r>
          </w:p>
        </w:tc>
        <w:tc>
          <w:tcPr>
            <w:tcW w:type="dxa" w:w="23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设备清单与验收单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试运行</w:t>
            </w:r>
          </w:p>
        </w:tc>
        <w:tc>
          <w:tcPr>
            <w:tcW w:type="dxa" w:w="16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t xml:space="preserve">第 13—16 周</w:t>
            </w:r>
          </w:p>
        </w:tc>
        <w:tc>
          <w:tcPr>
            <w:tcW w:type="dxa" w:w="32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联调、试运行、培训</w:t>
            </w:r>
          </w:p>
        </w:tc>
        <w:tc>
          <w:tcPr>
            <w:tcW w:type="dxa" w:w="23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试运行报告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bookmarkStart w:name="_Toc12" w:id="12"/>
      <w:r>
        <w:t xml:space="preserve">五、投资预算</w:t>
      </w:r>
      <w:bookmarkEnd w:id="12"/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5"/>
        <w:gridCol w:w="1083"/>
        <w:gridCol w:w="2526"/>
        <w:gridCol w:w="2526"/>
      </w:tblGrid>
      <w:tr>
        <w:trPr>
          <w:cantSplit/>
          <w:tblHeader/>
        </w:trPr>
        <w:tc>
          <w:tcPr>
            <w:tcW w:type="dxa" w:w="21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数量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单价（万元）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D8B8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b/>
                <w:bCs/>
                <w:color w:val="FFFFFF"/>
              </w:rPr>
              <w:t xml:space="preserve">金额（万元）</w:t>
            </w:r>
          </w:p>
        </w:tc>
      </w:tr>
      <w:tr>
        <w:trPr>
          <w:cantSplit/>
        </w:trPr>
        <w:tc>
          <w:tcPr>
            <w:tcW w:type="dxa" w:w="21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平台软件开发</w:t>
            </w:r>
          </w:p>
        </w:tc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1 项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86.0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86.0</w:t>
            </w:r>
          </w:p>
        </w:tc>
      </w:tr>
      <w:tr>
        <w:trPr>
          <w:cantSplit/>
        </w:trPr>
        <w:tc>
          <w:tcPr>
            <w:tcW w:type="dxa" w:w="21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智能电表</w:t>
            </w:r>
          </w:p>
        </w:tc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260 块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0.08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20.8</w:t>
            </w:r>
          </w:p>
        </w:tc>
      </w:tr>
      <w:tr>
        <w:trPr>
          <w:cantSplit/>
        </w:trPr>
        <w:tc>
          <w:tcPr>
            <w:tcW w:type="dxa" w:w="21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智能水表</w:t>
            </w:r>
          </w:p>
        </w:tc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80 块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0.06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4.8</w:t>
            </w:r>
          </w:p>
        </w:tc>
      </w:tr>
      <w:tr>
        <w:trPr>
          <w:cantSplit/>
        </w:trPr>
        <w:tc>
          <w:tcPr>
            <w:tcW w:type="dxa" w:w="21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t xml:space="preserve">门禁网关</w:t>
            </w:r>
          </w:p>
        </w:tc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12 台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0.5</w:t>
            </w: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t xml:space="preserve">6.0</w:t>
            </w:r>
          </w:p>
        </w:tc>
      </w:tr>
      <w:tr>
        <w:trPr>
          <w:cantSplit/>
        </w:trPr>
        <w:tc>
          <w:tcPr>
            <w:tcW w:type="dxa" w:w="216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1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</w:p>
        </w:tc>
        <w:tc>
          <w:tcPr>
            <w:tcW w:type="dxa" w:w="2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bCs/>
              </w:rPr>
              <w:t xml:space="preserve">117.6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3" w:id="13"/>
      <w:r>
        <w:t xml:space="preserve">六、风险与对策</w:t>
      </w:r>
      <w:bookmarkEnd w:id="13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门禁厂商不配合开放接口</w:t>
      </w:r>
      <w:r>
        <w:t xml:space="preserve">：合同约定接口交付；备选方案为加装独立读卡模块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改造期间影响通行</w:t>
      </w:r>
      <w:r>
        <w:t xml:space="preserve">：分楼栋夜间施工，保留人工通道</w:t>
      </w:r>
    </w:p>
    <w:sectPr>
      <w:headerReference w:type="default" r:id="rId7"/>
      <w:footerReference w:type="default" r:id="rId8"/>
      <w:pgSz w:w="11906" w:h="16838" w:orient="portrait"/>
      <w:pgMar w:top="1440" w:right="1803" w:bottom="1440" w:left="1803" w:header="850" w:footer="85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微软雅黑" w:hAnsi="Calibri"/>
        <w:color w:val="7F7F7F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FEF" w:sz="4" w:space="4"/>
      </w:pBdr>
      <w:jc w:val="right"/>
    </w:pPr>
    <w:r>
      <w:rPr>
        <w:rFonts w:ascii="Calibri" w:cs="Calibri" w:eastAsia="微软雅黑" w:hAnsi="Calibri"/>
        <w:color w:val="7F7F7F"/>
        <w:sz w:val="18"/>
        <w:szCs w:val="18"/>
      </w:rPr>
      <w:t xml:space="preserve">智慧园区一期建设项目方案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suff w:val="tab"/>
      <w:lvlText w:val="●"/>
      <w:lvlJc w:val="left"/>
      <w:pPr>
        <w:ind w:left="420" w:hanging="420"/>
      </w:pPr>
      <w:rPr>
        <w:rFonts w:ascii="Arial" w:eastAsia="宋体" w:hAnsi="Arial"/>
        <w:color w:val="2D8B8B"/>
        <w:sz w:val="17"/>
        <w:szCs w:val="17"/>
      </w:rPr>
    </w:lvl>
    <w:lvl w:ilvl="1" w:tentative="1">
      <w:start w:val="1"/>
      <w:numFmt w:val="bullet"/>
      <w:suff w:val="tab"/>
      <w:lvlText w:val="○"/>
      <w:lvlJc w:val="left"/>
      <w:pPr>
        <w:ind w:left="840" w:hanging="420"/>
      </w:pPr>
      <w:rPr>
        <w:rFonts w:ascii="Arial" w:eastAsia="宋体" w:hAnsi="Arial"/>
        <w:color w:val="2D8B8B"/>
        <w:sz w:val="19"/>
        <w:szCs w:val="19"/>
      </w:rPr>
    </w:lvl>
    <w:lvl w:ilvl="2" w:tentative="1">
      <w:start w:val="1"/>
      <w:numFmt w:val="bullet"/>
      <w:suff w:val="tab"/>
      <w:lvlText w:val="■"/>
      <w:lvlJc w:val="left"/>
      <w:pPr>
        <w:ind w:left="1260" w:hanging="420"/>
      </w:pPr>
      <w:rPr>
        <w:rFonts w:ascii="Arial" w:eastAsia="宋体" w:hAnsi="Arial"/>
        <w:color w:val="2D8B8B"/>
        <w:sz w:val="19"/>
        <w:szCs w:val="19"/>
      </w:rPr>
    </w:lvl>
    <w:lvl w:ilvl="3" w:tentative="1">
      <w:start w:val="1"/>
      <w:numFmt w:val="bullet"/>
      <w:suff w:val="tab"/>
      <w:lvlText w:val="●"/>
      <w:lvlJc w:val="left"/>
      <w:pPr>
        <w:ind w:left="1680" w:hanging="420"/>
      </w:pPr>
      <w:rPr>
        <w:rFonts w:ascii="Arial" w:eastAsia="宋体" w:hAnsi="Arial"/>
        <w:color w:val="2D8B8B"/>
        <w:sz w:val="17"/>
        <w:szCs w:val="17"/>
      </w:rPr>
    </w:lvl>
    <w:lvl w:ilvl="4" w:tentative="1">
      <w:start w:val="1"/>
      <w:numFmt w:val="bullet"/>
      <w:suff w:val="tab"/>
      <w:lvlText w:val="○"/>
      <w:lvlJc w:val="left"/>
      <w:pPr>
        <w:ind w:left="2100" w:hanging="420"/>
      </w:pPr>
      <w:rPr>
        <w:rFonts w:ascii="Arial" w:eastAsia="宋体" w:hAnsi="Arial"/>
        <w:color w:val="2D8B8B"/>
        <w:sz w:val="19"/>
        <w:szCs w:val="19"/>
      </w:rPr>
    </w:lvl>
    <w:lvl w:ilvl="5" w:tentative="1">
      <w:start w:val="1"/>
      <w:numFmt w:val="bullet"/>
      <w:suff w:val="tab"/>
      <w:lvlText w:val="■"/>
      <w:lvlJc w:val="left"/>
      <w:pPr>
        <w:ind w:left="2520" w:hanging="420"/>
      </w:pPr>
      <w:rPr>
        <w:rFonts w:ascii="Arial" w:eastAsia="宋体" w:hAnsi="Arial"/>
        <w:color w:val="2D8B8B"/>
        <w:sz w:val="19"/>
        <w:szCs w:val="19"/>
      </w:rPr>
    </w:lvl>
    <w:lvl w:ilvl="6" w:tentative="1">
      <w:start w:val="1"/>
      <w:numFmt w:val="bullet"/>
      <w:suff w:val="tab"/>
      <w:lvlText w:val="●"/>
      <w:lvlJc w:val="left"/>
      <w:pPr>
        <w:ind w:left="2940" w:hanging="420"/>
      </w:pPr>
      <w:rPr>
        <w:rFonts w:ascii="Arial" w:eastAsia="宋体" w:hAnsi="Arial"/>
        <w:color w:val="2D8B8B"/>
        <w:sz w:val="17"/>
        <w:szCs w:val="17"/>
      </w:rPr>
    </w:lvl>
    <w:lvl w:ilvl="7" w:tentative="1">
      <w:start w:val="1"/>
      <w:numFmt w:val="bullet"/>
      <w:suff w:val="tab"/>
      <w:lvlText w:val="○"/>
      <w:lvlJc w:val="left"/>
      <w:pPr>
        <w:ind w:left="3360" w:hanging="420"/>
      </w:pPr>
      <w:rPr>
        <w:rFonts w:ascii="Arial" w:eastAsia="宋体" w:hAnsi="Arial"/>
        <w:color w:val="2D8B8B"/>
        <w:sz w:val="19"/>
        <w:szCs w:val="19"/>
      </w:rPr>
    </w:lvl>
    <w:lvl w:ilvl="8" w:tentative="1">
      <w:start w:val="1"/>
      <w:numFmt w:val="bullet"/>
      <w:suff w:val="tab"/>
      <w:lvlText w:val="■"/>
      <w:lvlJc w:val="left"/>
      <w:pPr>
        <w:ind w:left="3780" w:hanging="420"/>
      </w:pPr>
      <w:rPr>
        <w:rFonts w:ascii="Arial" w:eastAsia="宋体" w:hAnsi="Arial"/>
        <w:color w:val="2D8B8B"/>
        <w:sz w:val="19"/>
        <w:szCs w:val="19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suff w:val="tab"/>
      <w:lvlText w:val="%1."/>
      <w:lvlJc w:val="left"/>
      <w:pPr>
        <w:ind w:left="420" w:hanging="420"/>
      </w:pPr>
    </w:lvl>
    <w:lvl w:ilvl="1" w:tentative="1">
      <w:start w:val="1"/>
      <w:numFmt w:val="decimal"/>
      <w:suff w:val="tab"/>
      <w:lvlText w:val="(%2)"/>
      <w:lvlJc w:val="left"/>
      <w:pPr>
        <w:ind w:left="840" w:hanging="420"/>
      </w:pPr>
    </w:lvl>
    <w:lvl w:ilvl="2" w:tentative="1">
      <w:start w:val="1"/>
      <w:numFmt w:val="decimalEnclosedCircle"/>
      <w:suff w:val="tab"/>
      <w:lvlText w:val="%3"/>
      <w:lvlJc w:val="left"/>
      <w:pPr>
        <w:ind w:left="1260" w:hanging="420"/>
      </w:pPr>
    </w:lvl>
    <w:lvl w:ilvl="3" w:tentative="1">
      <w:start w:val="1"/>
      <w:numFmt w:val="lowerLetter"/>
      <w:suff w:val="tab"/>
      <w:lvlText w:val="%4."/>
      <w:lvlJc w:val="left"/>
      <w:pPr>
        <w:ind w:left="1680" w:hanging="420"/>
      </w:pPr>
    </w:lvl>
    <w:lvl w:ilvl="4" w:tentative="1">
      <w:start w:val="1"/>
      <w:numFmt w:val="lowerRoman"/>
      <w:suff w:val="tab"/>
      <w:lvlText w:val="%5."/>
      <w:lvlJc w:val="left"/>
      <w:pPr>
        <w:ind w:left="2100" w:hanging="420"/>
      </w:pPr>
    </w:lvl>
    <w:lvl w:ilvl="5" w:tentative="1">
      <w:start w:val="1"/>
      <w:numFmt w:val="decimal"/>
      <w:suff w:val="tab"/>
      <w:lvlText w:val="%6."/>
      <w:lvlJc w:val="left"/>
      <w:pPr>
        <w:ind w:left="2520" w:hanging="420"/>
      </w:pPr>
    </w:lvl>
    <w:lvl w:ilvl="6" w:tentative="1">
      <w:start w:val="1"/>
      <w:numFmt w:val="decimal"/>
      <w:suff w:val="tab"/>
      <w:lvlText w:val="%7."/>
      <w:lvlJc w:val="left"/>
      <w:pPr>
        <w:ind w:left="2940" w:hanging="420"/>
      </w:pPr>
    </w:lvl>
    <w:lvl w:ilvl="7" w:tentative="1">
      <w:start w:val="1"/>
      <w:numFmt w:val="decimal"/>
      <w:suff w:val="tab"/>
      <w:lvlText w:val="%8."/>
      <w:lvlJc w:val="left"/>
      <w:pPr>
        <w:ind w:left="3360" w:hanging="420"/>
      </w:pPr>
    </w:lvl>
    <w:lvl w:ilvl="8" w:tentative="1">
      <w:start w:val="1"/>
      <w:numFmt w:val="decimal"/>
      <w:suff w:val="tab"/>
      <w:lvlText w:val="%9."/>
      <w:lvlJc w:val="left"/>
      <w:pPr>
        <w:ind w:left="378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微软雅黑" w:hAnsi="Calibri"/>
        <w:color w:val="1F2328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keepLines/>
      <w:spacing w:after="360" w:before="0" w:line="300" w:lineRule="auto"/>
      <w:jc w:val="center"/>
    </w:pPr>
    <w:rPr>
      <w:rFonts w:ascii="Calibri" w:cs="Calibri" w:eastAsia="微软雅黑" w:hAnsi="Calibri"/>
      <w:b/>
      <w:bCs/>
      <w:color w:val="1A2332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spacing w:after="180" w:before="360" w:line="300" w:lineRule="auto"/>
      <w:outlineLvl w:val="0"/>
    </w:pPr>
    <w:rPr>
      <w:rFonts w:ascii="Calibri" w:cs="Calibri" w:eastAsia="微软雅黑" w:hAnsi="Calibri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 w:line="300" w:lineRule="auto"/>
      <w:outlineLvl w:val="1"/>
    </w:pPr>
    <w:rPr>
      <w:rFonts w:ascii="Calibri" w:cs="Calibri" w:eastAsia="微软雅黑" w:hAnsi="Calibri"/>
      <w:b/>
      <w:bCs/>
      <w:color w:val="1A2332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 w:line="300" w:lineRule="auto"/>
      <w:outlineLvl w:val="2"/>
    </w:pPr>
    <w:rPr>
      <w:rFonts w:ascii="Calibri" w:cs="Calibri" w:eastAsia="微软雅黑" w:hAnsi="Calibri"/>
      <w:b/>
      <w:bCs/>
      <w:color w:val="2D8B8B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20" w:line="300" w:lineRule="auto"/>
      <w:outlineLvl w:val="3"/>
    </w:pPr>
    <w:rPr>
      <w:rFonts w:ascii="Calibri" w:cs="Calibri" w:eastAsia="微软雅黑" w:hAnsi="Calibri"/>
      <w:b/>
      <w:bCs/>
      <w:color w:val="1A2332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60" w:before="120" w:line="300" w:lineRule="auto"/>
      <w:outlineLvl w:val="4"/>
    </w:pPr>
    <w:rPr>
      <w:rFonts w:ascii="Calibri" w:cs="Calibri" w:eastAsia="微软雅黑" w:hAnsi="Calibri"/>
      <w:b w:val="false"/>
      <w:bCs w:val="false"/>
      <w:color w:val="1A2332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60" w:before="120" w:line="300" w:lineRule="auto"/>
      <w:outlineLvl w:val="5"/>
    </w:pPr>
    <w:rPr>
      <w:rFonts w:ascii="Calibri" w:cs="Calibri" w:eastAsia="微软雅黑" w:hAnsi="Calibri"/>
      <w:b w:val="false"/>
      <w:bCs w:val="false"/>
      <w:color w:val="1A2332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智慧园区一期建设项目方案</dc:title>
  <dc:creator>贾维斯</dc:creator>
  <dc:description>（征求意见稿）</dc:description>
  <cp:lastModifiedBy>Un-named</cp:lastModifiedBy>
  <cp:revision>1</cp:revision>
  <dcterms:created xsi:type="dcterms:W3CDTF">2026-10-15T01:11:41.210Z</dcterms:created>
  <dcterms:modified xsi:type="dcterms:W3CDTF">2026-10-15T01:11:41.210Z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