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200" w:line="288" w:lineRule="auto"/>
        <w:jc w:val="center"/>
      </w:pPr>
      <w:r>
        <w:rPr>
          <w:rFonts w:ascii="Arial" w:hAnsi="Arial" w:eastAsia="黑体"/>
          <w:b/>
          <w:bCs/>
          <w:sz w:val="44"/>
          <w:szCs w:val="44"/>
        </w:rPr>
        <w:t xml:space="preserve">长江流域重点水域禁捕执法装备设施建设项目</w:t>
      </w: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AI智能体建设方案（简明汇报版）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一、为什么要建智能体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在建的平台正在解决"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看得见</w:t>
      </w:r>
      <w:r>
        <w:rPr>
          <w:rFonts w:ascii="Times New Roman" w:hAnsi="Times New Roman" w:eastAsia="宋体"/>
          <w:sz w:val="21"/>
          <w:szCs w:val="21"/>
        </w:rPr>
        <w:t xml:space="preserve">"的问题——摄像头、雷达、AIS、北斗把水面情况传回来，屏幕上能看到。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但平台建成后，还有三件事解决不了：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第一，看见了，但要靠人去看懂。</w:t>
      </w:r>
      <w:r>
        <w:rPr>
          <w:rFonts w:ascii="Times New Roman" w:hAnsi="Times New Roman" w:eastAsia="宋体"/>
          <w:sz w:val="21"/>
          <w:szCs w:val="21"/>
        </w:rPr>
        <w:t xml:space="preserve"> 平台弹出一条告警，是钓鱼还是路过、算不算违法、该罚多少，全要人打开视频一帧帧看、翻法条、查案例。标书里"预警分析研判"这一条，原文写的就是"进行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人工</w:t>
      </w:r>
      <w:r>
        <w:rPr>
          <w:rFonts w:ascii="Times New Roman" w:hAnsi="Times New Roman" w:eastAsia="宋体"/>
          <w:sz w:val="21"/>
          <w:szCs w:val="21"/>
        </w:rPr>
        <w:t xml:space="preserve">初步研判"。一条线索从预警到出警，耗时按"天"计。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第二，模型建完就不动了。</w:t>
      </w:r>
      <w:r>
        <w:rPr>
          <w:rFonts w:ascii="Times New Roman" w:hAnsi="Times New Roman" w:eastAsia="宋体"/>
          <w:sz w:val="21"/>
          <w:szCs w:val="21"/>
        </w:rPr>
        <w:t xml:space="preserve"> 现在的AI识别模型训练完就固化，一线遇到新手法——夜里钓、多人蹲守、跨湖区流窜——模型不会自己学。运行两三年后，识别精度提不上去，反而越来越跟不上。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第三，查个数要跨好几个模块导表。</w:t>
      </w:r>
      <w:r>
        <w:rPr>
          <w:rFonts w:ascii="Times New Roman" w:hAnsi="Times New Roman" w:eastAsia="宋体"/>
          <w:sz w:val="21"/>
          <w:szCs w:val="21"/>
        </w:rPr>
        <w:t xml:space="preserve"> 想知道"上个月洪泽湖夜间违规比去年多多少"，得从几个子系统分别导出再人工拼。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一句话概括：</w:t>
      </w:r>
      <w:r>
        <w:rPr>
          <w:rFonts w:ascii="Times New Roman" w:hAnsi="Times New Roman" w:eastAsia="宋体"/>
          <w:sz w:val="21"/>
          <w:szCs w:val="21"/>
        </w:rPr>
        <w:t xml:space="preserve"> 平台解决了"看得见、传得回、流程能走通"，智能体要解决的是"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看得懂、判得准、派得对、越用越准</w:t>
      </w:r>
      <w:r>
        <w:rPr>
          <w:rFonts w:ascii="Times New Roman" w:hAnsi="Times New Roman" w:eastAsia="宋体"/>
          <w:sz w:val="21"/>
          <w:szCs w:val="21"/>
        </w:rPr>
        <w:t xml:space="preserve">"。这是上下两层的关系，不是同一件事的两种做法。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二、建设思路：不推翻、不重构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明确一条底线：现有平台一行代码不推翻，一个模块不重建。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具体做法是三个"不"：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不重建底座</w:t>
      </w:r>
      <w:r>
        <w:rPr>
          <w:rFonts w:ascii="Times New Roman" w:hAnsi="Times New Roman" w:eastAsia="宋体"/>
          <w:sz w:val="21"/>
          <w:szCs w:val="21"/>
        </w:rPr>
        <w:t xml:space="preserve">——报表引擎、图表组件、移动端、GIS地图、船艇轨迹、算法仓库、案件评分，标书已经建好的，全部直接调用；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不重复采购硬件</w:t>
      </w:r>
      <w:r>
        <w:rPr>
          <w:rFonts w:ascii="Times New Roman" w:hAnsi="Times New Roman" w:eastAsia="宋体"/>
          <w:sz w:val="21"/>
          <w:szCs w:val="21"/>
        </w:rPr>
        <w:t xml:space="preserve">——标书已配32台内置GPU的录像机（明确支持导入视觉大模型和第三方算法插件）、32台双光谱云台、12台雷达，视频识别的算力和设备条件已经具备；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不改变现有流程</w:t>
      </w:r>
      <w:r>
        <w:rPr>
          <w:rFonts w:ascii="Times New Roman" w:hAnsi="Times New Roman" w:eastAsia="宋体"/>
          <w:sz w:val="21"/>
          <w:szCs w:val="21"/>
        </w:rPr>
        <w:t xml:space="preserve">——"预警→研判→签收→处置→审核"这套流程壳保持不变，智能体是接在既有节点上，把原来人工做的环节换成AI辅助。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风险上也留了退路：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AI能力可一键停用，随时回落到现在的人工流程，业务不中断。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三、10个模块分别是什么、干什么用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3.1 新增模块（6个）——标书完全没有的内容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一句话说清干什么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对工作的实际改变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可量化指标（建议作为验收依据）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一、多智能体协作框架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给平台配一个"AI执法专班"：一个班长带五个专业组员（看视频的、做研判的、派任务的、审案卷的），班长负责拆活派活盯进度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现在一条线索要在门户、预警、指挥调度、办案四五个模块之间来回切换；以后这些动作在后台自动串起来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单条线索跨模块人工切换次数：从6-8次降到0次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二、任务规划与自主决策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让系统听得懂人话、拆得开活、拿得准主意，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拿不准会举手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领导说一句"这周末重点盯洪泽湖夜钓"，系统自己理解成一组任务安排下去；把握不足的自动交回人工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AI自动处置占比目标≥60%；低于阈值转人工比例100%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三、记忆管理系统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给AI装"记事本+档案柜"，让它记得这条船、这个人以前干过什么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现在每条预警都是从零处理，系统不知道这个人是三次违规的老面孔；有了记忆，孤立事件能串成线索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重复违法人员自动识别率；关联历史案件召回率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四、知识库与RAG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把法条、案例、裁量基准做成AI能查能引的"电子法律顾问"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研判不再靠人翻法条；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AI下结论必须引用查到的原文，查不到就说"无依据"，不许编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法条引用准确率100%（硬指标）；研判结论有据可查率100%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五、工具调用与执行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让AI从"只会说"变成"能动手"——能转云台、放无人机、发工单、起草文书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发现目标后不用人工再去点云台、再去派单；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高风险动作（无人机起飞、正式文书）必须人工点头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AI可自动完成的操作类型数；高风险动作人工确认率100%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九、人机协同与安全合规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回答领导最关心的三个问题：AI说错了怎么办、AI凭什么这么说、出事了谁负责查不查得到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AI每一步用了什么数据、查了什么法条全部可见可回放；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AI只出建议，处罚决定仍由执法人员签字负责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AI决策全过程可追溯率100%；AI建议采纳率（衡量AI真实水平）</w:t>
            </w:r>
          </w:p>
        </w:tc>
      </w:tr>
    </w:tbl>
    <w:p>
      <w:pPr>
        <w:spacing w:before="0" w:after="60"/>
      </w:pP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3.2 深化模块（4个）——标书有基础，本次做增强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标书现在能做到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本次增强后能做到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可量化指标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六、视频智能识别与模型能力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已有"人员捕捞钓鱼AI识别算法"，靠坐姿＋遮阳伞＋钓竿＋渔具桶＋滞留30分钟组合判定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升级到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动作级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（持竿、抛竿、收线分别识别）、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夜间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（热成像通道，标书无此算法）、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多人聚集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、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跨点位追人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查准率：试运行期≥85%，运行6个月后≥90%；夜间识别从0到可用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七、执法调度与派单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流程壳、移动端、签收计时都已建，但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任务由人创建、等级由人判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等级AI自动判、力量AI自动荐、工单AI自动派，人从"创建者"变成"确认者"。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新增处置结果回流训练——这是"越用越准"的唯一实现路径，标书零覆盖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预警到派单时长：从天级到分钟级；处置闭环率≥95%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八、NL2SQL与智能报表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报表引擎、近30种图表、驾驶舱都已建，查数要人工配置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加一层"说人话查数"的入口和AI自动解读，图表渲染和导出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直接复用标书能力，不重建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常用统计出数时间：从小时级到分钟级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十、智能巡查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船艇轨迹已建（112台北斗船载主机）、巡查路径可预设、任务可归档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新增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执法人员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巡查轨迹自动采集、现场影像自动水印归档、巡查质量AI自动打分（三项标书均无）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巡查记录自动生成率；轨迹覆盖率可核验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2E5C8A"/>
        </w:pBdr>
        <w:shd w:val="clear" w:color="auto" w:fill="F2F5F9"/>
        <w:spacing w:before="160" w:after="160" w:line="300" w:lineRule="auto"/>
        <w:ind w:left="360" w:right="24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说明：</w:t>
      </w:r>
      <w:r>
        <w:rPr>
          <w:rFonts w:ascii="Times New Roman" w:hAnsi="Times New Roman" w:eastAsia="宋体"/>
          <w:sz w:val="21"/>
          <w:szCs w:val="21"/>
        </w:rPr>
        <w:t xml:space="preserve"> 上表中的量化指标为建议的验收目标值，非当前实测数据。建议在合同中逐项约定，避免"智能化""准确"这类无法验收的表述。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四、哪些必须先做，哪些可以往后放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4.1 必须做的：6个新增模块 + 回流训练（智能体的骨架）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判断标准很简单：没有这六个模块，剩下的四个就还是传统的图像识别加报表，构不成"智能体"。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模块九（安全合规审计）必须第一批建。</w:t>
      </w:r>
      <w:r>
        <w:rPr>
          <w:rFonts w:ascii="Times New Roman" w:hAnsi="Times New Roman" w:eastAsia="宋体"/>
          <w:sz w:val="21"/>
          <w:szCs w:val="21"/>
        </w:rPr>
        <w:t xml:space="preserve"> 标书里的审计条款有四处，审的都是"人操作了系统"——谁登录、查了哪张表；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没有一条能回答"AI调了哪个模型、传了什么数据、为什么这么判"</w:t>
      </w:r>
      <w:r>
        <w:rPr>
          <w:rFonts w:ascii="Times New Roman" w:hAnsi="Times New Roman" w:eastAsia="宋体"/>
          <w:sz w:val="21"/>
          <w:szCs w:val="21"/>
        </w:rPr>
        <w:t xml:space="preserve">。AI进执法环节，这个缺口不补上，前面做的东西都没法真正投用。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模块四（知识库）必须第一批建。</w:t>
      </w:r>
      <w:r>
        <w:rPr>
          <w:rFonts w:ascii="Times New Roman" w:hAnsi="Times New Roman" w:eastAsia="宋体"/>
          <w:sz w:val="21"/>
          <w:szCs w:val="21"/>
        </w:rPr>
        <w:t xml:space="preserve"> 它是研判Agent的输入源，没有它AI无据可依。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模块一、二、三、五</w:t>
      </w:r>
      <w:r>
        <w:rPr>
          <w:rFonts w:ascii="Times New Roman" w:hAnsi="Times New Roman" w:eastAsia="宋体"/>
          <w:sz w:val="21"/>
          <w:szCs w:val="21"/>
        </w:rPr>
        <w:t xml:space="preserve">是骨架，缺一个智能体就转不起来。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模块七第50项（处置结果回流训练）建议从模块七拆出来，跟视频识别配套做。</w:t>
      </w:r>
      <w:r>
        <w:rPr>
          <w:rFonts w:ascii="Times New Roman" w:hAnsi="Times New Roman" w:eastAsia="宋体"/>
          <w:sz w:val="21"/>
          <w:szCs w:val="21"/>
        </w:rPr>
        <w:t xml:space="preserve"> 这一项标书零覆盖，是"越用越准"这个核心卖点的唯一落地点；不做的话，模型训练完还是固化，方案的核心论证立不住。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4.2 可以往后放的：4个深化模块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7325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为什么可以缓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十、智能巡查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与标书重叠最多（船艇轨迹、巡查路径、任务归档都已建），去重后真正的新增只剩影像水印和AI质检两项；与其他模块耦合最低，晚建不影响别的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八、NL2SQL智能报表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图表和导出标书已有；落地依赖前期的语义层建模准备，仓促上马准确率不达预期反而砸口碑；属"锦上添花"，不影响执法闭环跑通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七、45-49项派单流程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现有流程壳和移动端能用，AI接入只是把人工换成自动；且强依赖在建平台开接口，接口不到位建了也用不上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六、视频智能识别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可缓但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建议在非紧急项里排第一位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——它是真正提升发现能力的部分，且样本积累越早开始越好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五、要真正达到智能体的要求，建议再补三件事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这三项不在原来的10个模块里，但业内做智能体是标配，不做会留下明显短板：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补充项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为什么需要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人天 / 金额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场景评测集与回归测试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现在10个模块里没有一项是"怎么证明AI做得对"。建一套渔政场景评测集（100-200条标注好的真实案例），模型或提示词一改就跑一遍回归。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没有它，模型升级后是变好还是变差，谁也说不清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15人天 / 3万元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模型网关（可插拔抽象层）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直接对接某一家大模型，将来换模型要改代码。加一层网关统一接口后，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换模型只改配置不动代码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。这一项同时也是下一章"会不会被推翻"的答案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10人天 / 2万元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提示词注入安全测试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智能体接了工具就能动手（转云台、发工单）。要防止有人通过构造内容诱导AI执行不该做的操作，需要一轮专项红队测试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5人天 / 1万元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合计 30人天 / 6万元。</w:t>
      </w:r>
      <w:r>
        <w:rPr>
          <w:rFonts w:ascii="Times New Roman" w:hAnsi="Times New Roman" w:eastAsia="宋体"/>
          <w:sz w:val="21"/>
          <w:szCs w:val="21"/>
        </w:rPr>
        <w:t xml:space="preserve"> 建议并入第一批。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另有一项不花钱但必须明确：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处置结果回流训练需要有人做标注复核</w:t>
      </w:r>
      <w:r>
        <w:rPr>
          <w:rFonts w:ascii="Times New Roman" w:hAnsi="Times New Roman" w:eastAsia="宋体"/>
          <w:sz w:val="21"/>
          <w:szCs w:val="21"/>
        </w:rPr>
        <w:t xml:space="preserve">。建议明确1名兼职标注复核岗和月度评审例会，写进运维方案。没有人管，回流闭环转不起来。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六、算力怎么配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视频识别的算力标书已经解决了——32台录像机内置GPU，明确支持导入视觉大模型和第三方算法插件，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这部分不用新买卡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需要新增的只是大模型推理的算力。给三个方案：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方案A：调用政务云大模型（</w:t>
      </w:r>
      <w:r>
        <w:rPr>
          <w:rFonts w:ascii="Arial" w:hAnsi="Arial" w:eastAsia="黑体"/>
          <w:b/>
          <w:bCs/>
          <w:sz w:val="25"/>
          <w:szCs w:val="25"/>
        </w:rPr>
        <w:t xml:space="preserve">推荐</w:t>
      </w:r>
      <w:r>
        <w:rPr>
          <w:rFonts w:ascii="Arial" w:hAnsi="Arial" w:eastAsia="黑体"/>
          <w:b/>
          <w:bCs/>
          <w:sz w:val="25"/>
          <w:szCs w:val="25"/>
        </w:rPr>
        <w:t xml:space="preserve">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算力卡采购：0元。</w:t>
      </w:r>
      <w:r>
        <w:rPr>
          <w:rFonts w:ascii="Times New Roman" w:hAnsi="Times New Roman" w:eastAsia="宋体"/>
          <w:sz w:val="21"/>
          <w:szCs w:val="21"/>
        </w:rPr>
        <w:t xml:space="preserve"> 江苏省政务云如已提供大模型服务，直接调用，数据在政务云内网不出域，同时满足信创要求。只产生Token运营费：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使用强度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月费用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年费用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低频试点（5个湖区，每天10次）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约1,800元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约2.2万元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正常运营（每天50次）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约9,000元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约10.8万元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满负荷（每天200次）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约3.6万元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约43.2万元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若政务云统一承担Token费用，本项目这块可为零支出。这是最省钱也最合规的路径，建议优先确认。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方案B：本地轻量部署（政务云无大模型资源时的备选）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配置要求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主推理模型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32B参数级国产大模型，INT8量化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权重约32GB，加上运行时缓存开销，需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48-64GB显存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向量模型 + 重排序模型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检索用，体量小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约4-6GB显存，可与主模型共卡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加速卡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国产加速卡（64GB显存级）× 2张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一张跑推理、一张保并发与冗余。国产卡满足信创要求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推理服务器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2卡整机，国产CPU + 国产操作系统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与标书信创要求一致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网络与存储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部署在政务云内网，数据不出域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满足等保三级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投资量级：40—70万元。</w:t>
      </w:r>
      <w:r>
        <w:rPr>
          <w:rFonts w:ascii="Times New Roman" w:hAnsi="Times New Roman" w:eastAsia="宋体"/>
          <w:sz w:val="21"/>
          <w:szCs w:val="21"/>
        </w:rPr>
        <w:t xml:space="preserve"> 国产加速卡近两年供货和价格波动较大，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上述为量级参考，须以采购时的实际询价为准</w:t>
      </w:r>
      <w:r>
        <w:rPr>
          <w:rFonts w:ascii="Times New Roman" w:hAnsi="Times New Roman" w:eastAsia="宋体"/>
          <w:sz w:val="21"/>
          <w:szCs w:val="21"/>
        </w:rPr>
        <w:t xml:space="preserve">，不宜直接写入预算。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方案C：完整本地部署（含微调能力）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在方案B基础上增加训练卡，4—8卡规模，量级100—200万元。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不建议本期采用</w:t>
      </w:r>
      <w:r>
        <w:rPr>
          <w:rFonts w:ascii="Times New Roman" w:hAnsi="Times New Roman" w:eastAsia="宋体"/>
          <w:sz w:val="21"/>
          <w:szCs w:val="21"/>
        </w:rPr>
        <w:t xml:space="preserve">——微调训练是低频动作，可在需要时租用算力或依托厂商环境完成，不必自购。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结论建议：先按方案A推进，把Token费在运营预算中单列；只有确认政务云无大模型资源时，才启动方案B的询价。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七、以后AI发展了，现在做的会不会被推翻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这个问题要分两半回答，因为答案不一样。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会过时的部分（但影响可控）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具体的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大模型型号</w:t>
      </w:r>
      <w:r>
        <w:rPr>
          <w:rFonts w:ascii="Times New Roman" w:hAnsi="Times New Roman" w:eastAsia="宋体"/>
          <w:sz w:val="21"/>
          <w:szCs w:val="21"/>
        </w:rPr>
        <w:t xml:space="preserve">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编排框架版本</w:t>
      </w:r>
      <w:r>
        <w:rPr>
          <w:rFonts w:ascii="Times New Roman" w:hAnsi="Times New Roman" w:eastAsia="宋体"/>
          <w:sz w:val="21"/>
          <w:szCs w:val="21"/>
        </w:rPr>
        <w:t xml:space="preserve">一定会迭代——今天用的模型，两三年后必然有更好的替代。这是行业常态，躲不掉。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应对办法就是第五章讲的模型网关</w:t>
      </w:r>
      <w:r>
        <w:rPr>
          <w:rFonts w:ascii="Times New Roman" w:hAnsi="Times New Roman" w:eastAsia="宋体"/>
          <w:sz w:val="21"/>
          <w:szCs w:val="21"/>
        </w:rPr>
        <w:t xml:space="preserve">：所有对大模型的调用走统一接口，换模型只改配置、不动业务代码。有了这一层，模型换代对系统的影响，相当于换一个供应商的服务，而不是重做一遍。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编排框架同理——建议采用轻量自研编排加标准协议的做法，不深度绑定某一个开源框架，避免框架停止维护时被动。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不会被推翻的部分（这才是真正的资产）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以下这些一旦建成，不随模型换代而贬值，而且时间越久越值钱：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资产</w:t>
            </w:r>
          </w:p>
        </w:tc>
        <w:tc>
          <w:tcPr>
            <w:tcW w:w="7325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为什么不会贬值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法规库、案例库、裁量基准库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整理好的知识资产，换任何模型都能直接接着用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重点人员画像、船舶行为指纹、违规行为模式库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数据资产，越积累越准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处置结果回流积累的标注数据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这是最值钱的一块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——每一次执法处置都在给系统攒训练样本，攒得越多，将来换更强的模型时提升越明显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审计日志结构、工具定义规范、权限体系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制度性资产，是"AI怎么被管住"的规则，与用哪个模型无关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打个比方：这次建的是一座图书馆。</w:t>
      </w:r>
      <w:r>
        <w:rPr>
          <w:rFonts w:ascii="Times New Roman" w:hAnsi="Times New Roman" w:eastAsia="宋体"/>
          <w:sz w:val="21"/>
          <w:szCs w:val="21"/>
        </w:rPr>
        <w:t xml:space="preserve"> 馆藏（法规、案例、画像、标注数据）是资产，会一直增值；借阅系统（大模型）会换代，但换代时馆藏原样搬过去就能用。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只要坚持"知识与模型分离、工具定义与实现分离、模型可插拔"这三条设计原则，后续AI再怎么发展，本次建设的核心成果都不会推倒重来。</w:t>
      </w:r>
      <w:r>
        <w:rPr>
          <w:rFonts w:ascii="Times New Roman" w:hAnsi="Times New Roman" w:eastAsia="宋体"/>
          <w:sz w:val="21"/>
          <w:szCs w:val="21"/>
        </w:rPr>
        <w:t xml:space="preserve"> 建议把这三条写进技术方案作为约束条款。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八、人天与费用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单价按加权平均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2,000元/人天</w:t>
      </w:r>
      <w:r>
        <w:rPr>
          <w:rFonts w:ascii="Times New Roman" w:hAnsi="Times New Roman" w:eastAsia="宋体"/>
          <w:sz w:val="21"/>
          <w:szCs w:val="21"/>
        </w:rPr>
        <w:t xml:space="preserve">测算（与V5报告口径一致）。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8.1 必须做（智能体骨架）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人天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一、多智能体协作框架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二、任务规划与自主决策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10.4万元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三、记忆管理系统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四、知识库与RAG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五、工具调用与执行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九、人机协同与安全合规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处置结果回流训练（自第七模块拆出）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建议补充三项（评测集、模型网关、安全测试）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402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80.4万元</w:t>
            </w:r>
          </w:p>
        </w:tc>
      </w:tr>
    </w:tbl>
    <w:p>
      <w:pPr>
        <w:spacing w:before="0" w:after="60"/>
      </w:pP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8.2 非紧急（深化类，可分批推进）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人天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六、视频智能识别与模型能力（建议本批优先）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115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七、执法调度与派单（45-49项）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八、NL2SQL与智能报表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十、智能巡查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280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56.0万元</w:t>
            </w:r>
          </w:p>
        </w:tc>
      </w:tr>
    </w:tbl>
    <w:p>
      <w:pPr>
        <w:spacing w:before="0" w:after="60"/>
      </w:pP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8.3 合计与说明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口径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人天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必须做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402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80.4万元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非紧急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280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56.0万元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两批合计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682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136.4万元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与V5报告的差异说明：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V5报告原测算为710人天 / 142万元。本次经与标书逐条比对后，对六处与标书重叠的功能做了去重（案件评分改为调用既有能力、图表推荐与报表导出复用报表引擎、巡查轨迹复用船艇轨迹与GIS、NLP意图识别复用门户能力等），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核减58人天 / 11.6万元</w:t>
      </w:r>
      <w:r>
        <w:rPr>
          <w:rFonts w:ascii="Times New Roman" w:hAnsi="Times New Roman" w:eastAsia="宋体"/>
          <w:sz w:val="21"/>
          <w:szCs w:val="21"/>
        </w:rPr>
        <w:t xml:space="preserve">；同时新增了评测体系、模型网关、安全测试三项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30人天 / 6万元</w:t>
      </w:r>
      <w:r>
        <w:rPr>
          <w:rFonts w:ascii="Times New Roman" w:hAnsi="Times New Roman" w:eastAsia="宋体"/>
          <w:sz w:val="21"/>
          <w:szCs w:val="21"/>
        </w:rPr>
        <w:t xml:space="preserve">。两相抵冲后，总额由142万元调整为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136.4万元，净减5.6万元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另需单列的持续性支出：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大模型API调用费</w:t>
      </w:r>
      <w:r>
        <w:rPr>
          <w:rFonts w:ascii="Times New Roman" w:hAnsi="Times New Roman" w:eastAsia="宋体"/>
          <w:sz w:val="21"/>
          <w:szCs w:val="21"/>
        </w:rPr>
        <w:t xml:space="preserve">：按方案A测算约2.2万—43.2万元/年（取决于使用强度），属运营成本，不在本次建设采购范围；若由政务云统一承担则为零；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算力卡采购</w:t>
      </w:r>
      <w:r>
        <w:rPr>
          <w:rFonts w:ascii="Times New Roman" w:hAnsi="Times New Roman" w:eastAsia="宋体"/>
          <w:sz w:val="21"/>
          <w:szCs w:val="21"/>
        </w:rPr>
        <w:t xml:space="preserve">：按方案A为0元；仅在政务云无大模型资源时才需启动方案B（量级40—70万元，须按采购时实际询价）。</w:t>
      </w:r>
    </w:p>
    <w:p>
      <w:pPr>
        <w:pBdr>
          <w:bottom w:val="single" w:sz="6" w:space="1" w:color="BFBFBF"/>
        </w:pBdr>
        <w:spacing w:before="160" w:after="1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i/>
          <w:sz w:val="21"/>
          <w:szCs w:val="21"/>
        </w:rPr>
        <w:t xml:space="preserve">本文档依据《长江流域重点水域禁捕执法装备设施建设项目（综合管理平台和电子围栏）招标文件·第四章 采购需求》与《AI智能体新增事项可行性分析报告V5》编制。文中"标书是否已有"的判断，来自对招标文件第四章全部软件功能条目的逐条核对；详细的67项功能对照表见《AI智能体建设内容可行性分析与子功能模块清单》。</w:t>
      </w:r>
    </w:p>
    <w:sectPr>
      <w:pgSz w:w="11906" w:h="16838"/>
      <w:pgMar w:top="1247" w:right="1134" w:bottom="1247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eastAsia="黑体"/>
      <w:b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eastAsia="黑体"/>
      <w:b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eastAsia="黑体"/>
      <w:b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eastAsia="黑体"/>
      <w:b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