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200" w:line="288" w:lineRule="auto"/>
        <w:jc w:val="center"/>
      </w:pPr>
      <w:r>
        <w:rPr>
          <w:rFonts w:ascii="Arial" w:hAnsi="Arial" w:eastAsia="黑体"/>
          <w:b/>
          <w:bCs/>
          <w:sz w:val="44"/>
          <w:szCs w:val="44"/>
        </w:rPr>
        <w:t xml:space="preserve">长江流域重点水域禁捕执法装备设施建设项目——AI智能体新增事项</w:t>
      </w:r>
    </w:p>
    <w:p>
      <w:pPr>
        <w:pStyle w:val="Heading1"/>
        <w:spacing w:before="240" w:after="200" w:line="288" w:lineRule="auto"/>
        <w:jc w:val="center"/>
      </w:pPr>
      <w:r>
        <w:rPr>
          <w:rFonts w:ascii="Arial" w:hAnsi="Arial" w:eastAsia="黑体"/>
          <w:b/>
          <w:bCs/>
          <w:sz w:val="44"/>
          <w:szCs w:val="44"/>
        </w:rPr>
        <w:t xml:space="preserve">项目建议书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编制单位：</w:t>
      </w:r>
      <w:r>
        <w:rPr>
          <w:rFonts w:ascii="Times New Roman" w:hAnsi="Times New Roman" w:eastAsia="宋体"/>
          <w:sz w:val="21"/>
          <w:szCs w:val="21"/>
        </w:rPr>
        <w:t xml:space="preserve"> 江苏省渔业执法监督中心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编制日期：</w:t>
      </w:r>
      <w:r>
        <w:rPr>
          <w:rFonts w:ascii="Times New Roman" w:hAnsi="Times New Roman" w:eastAsia="宋体"/>
          <w:sz w:val="21"/>
          <w:szCs w:val="21"/>
        </w:rPr>
        <w:t xml:space="preserve"> 2026年9月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版本号：</w:t>
      </w:r>
      <w:r>
        <w:rPr>
          <w:rFonts w:ascii="Times New Roman" w:hAnsi="Times New Roman" w:eastAsia="宋体"/>
          <w:sz w:val="21"/>
          <w:szCs w:val="21"/>
        </w:rPr>
        <w:t xml:space="preserve"> V2.1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密级：</w:t>
      </w:r>
      <w:r>
        <w:rPr>
          <w:rFonts w:ascii="Times New Roman" w:hAnsi="Times New Roman" w:eastAsia="宋体"/>
          <w:sz w:val="21"/>
          <w:szCs w:val="21"/>
        </w:rPr>
        <w:t xml:space="preserve"> 内部</w:t>
      </w: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一、项目概述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（一）项目名称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长江流域重点水域禁捕执法装备设施建设项目——AI智能体新增事项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（二）项目建设内容与规模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本项目依托在建的长江流域重点水域禁捕执法装备设施建设项目（综合管理平台和电子围栏），开展智能化能力增量建设，新增政务执法场景专用AI智能体体系，补齐现有平台智能研判、自主调度、线索串联、合规溯源能力短板。具体建设内容如下：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多智能体协同调度中枢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构建全流程任务总控机制，实现预警发现、任务拆解、智能分发、协同调度、进度监控、异常兜底的自动化闭环流转。打通"预警→研判→调度→派单→处置→归档"全业务链路，解决现有平台模块割裂、人工跨系统操作繁琐的问题。预警触发后，系统后台自动完成跨模块数据流转与任务匹配，无需人工干预切换操作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自然语言指令理解与任务转化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搭建政务场景专属自然语言理解能力，支持口头、文字类人工指令的意图识别、语义解析与结构化任务生成。建立人机协同置信度兜底机制，系统研判置信度不足、场景复杂或信息缺失时，自动终止自主处置流程，转交人工研判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历史关联与线索串联分析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实现单条预警事件的全维度线索溯源。系统可自动关联水域历史预警记录、目标船舶航行轨迹与违规历史、涉案人员违法台账，将分散在预警、船舶管理、人员管控、案件办理模块的孤立数据串联整合，形成完整违法线索链条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渔业法条智能检索与引用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完成渔业管理法律法规、行政处罚裁量基准、典型执法案例的结构化、标准化入库。AI开展违法研判、等级判定时，自动匹配对应法条、裁量标准及相似案例，所有智能研判结论必须附带原文引用。针对无明确法规依据的场景，系统禁止输出结论性判定，强制转交人工审核处置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5. 智能自动调取与闭环执行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依托原项目已建成的雷达与视频联动基础能力，新增AI研判执行环节。雷达感知疑似目标后，系统自动联动云台摄像机聚焦、调取实时监控画面；研判完成后自动调取船舶档案、人员台账等数据，生成执法工单。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由现行"接收告警—手动调阅视频—人工查档—手动填报工单"，调整为"系统自动处置—执法人员审核确认"模式。针对无人机起飞、执法文书生成、重大处置指令等高风险操作，设置人工确认关口。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6. 全链路审计与安全管控体系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构建AI智能体全流程溯源审计能力，每一条智能研判、每一次工具调用均可追溯，完整记录输入数据、检索依据、推理过程、输出结论。落实人机兜底机制，对存疑场景、低置信度判断自动转交人工处理。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遵循RBAC最小权限原则，AI智能体仅可在授权范围内调用系统工具、访问业务数据。建立不可篡改的操作审计日志，覆盖AI问答、工具调用、数据查询、数据导出等行为。日志留存执行分类要求：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系统运行与操作日志留存不少于6个月（符合网络安全等级保护三级要求）；AI参与执法研判形成的决策链记录，作为办案过程材料随案卷按行政执法档案管理规定的期限留存。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7至9. 配套保障事项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包括渔政专属评测集与回归测试、统一模型网关、提示词安全渗透测试三项，用于保障智能体建设成果的效果可验证、技术可迭代、应用可管控（详见第三章）。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建设规模：</w:t>
      </w:r>
      <w:r>
        <w:rPr>
          <w:rFonts w:ascii="Times New Roman" w:hAnsi="Times New Roman" w:eastAsia="宋体"/>
          <w:sz w:val="21"/>
          <w:szCs w:val="21"/>
        </w:rPr>
        <w:t xml:space="preserve"> 6项核心能力模块 + 3项配套保障事项，共9项建设内容，工作量合计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410人天</w:t>
      </w:r>
      <w:r>
        <w:rPr>
          <w:rFonts w:ascii="Times New Roman" w:hAnsi="Times New Roman" w:eastAsia="宋体"/>
          <w:sz w:val="21"/>
          <w:szCs w:val="21"/>
        </w:rPr>
        <w:t xml:space="preserve">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部署原则：</w:t>
      </w:r>
      <w:r>
        <w:rPr>
          <w:rFonts w:ascii="Times New Roman" w:hAnsi="Times New Roman" w:eastAsia="宋体"/>
          <w:sz w:val="21"/>
          <w:szCs w:val="21"/>
        </w:rPr>
        <w:t xml:space="preserve"> 本项目所有大模型推理、知识库检索、智能体调度运算，全部在江苏省政务云内网闭环运行，与公共互联网隔离，实现执法敏感数据不出域，满足信创适配要求及网络安全等级保护三级标准。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（三）项目投资估算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本项目总投资估算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82万元</w:t>
      </w:r>
      <w:r>
        <w:rPr>
          <w:rFonts w:ascii="Times New Roman" w:hAnsi="Times New Roman" w:eastAsia="宋体"/>
          <w:sz w:val="21"/>
          <w:szCs w:val="21"/>
        </w:rPr>
        <w:t xml:space="preserve">（大写：捌拾贰万元整），全部为软件开发服务费用，无新增硬件采购费用。</w:t>
      </w: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投资口径说明：</w:t>
      </w:r>
      <w:r>
        <w:rPr>
          <w:rFonts w:ascii="Times New Roman" w:hAnsi="Times New Roman" w:eastAsia="宋体"/>
          <w:sz w:val="21"/>
          <w:szCs w:val="21"/>
        </w:rPr>
        <w:t xml:space="preserve"> 本项目建设内容为标书零覆盖的增量智能体能力（第三章第二节所列9项）。原《AI智能体新增事项可行性分析报告V5》测算的710人天／142万元为含视频智能识别、执法调度派单、NL2SQL智能报表、智能巡查四项深化内容的全口径测算；上述四项经核定不纳入本次建设范围（详见第三章第三节），相应工作量300人天／60万元不计入本次投资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算力资源配置说明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项目大模型推理采用政务云本地国产化算力私有化部署模式，依托江苏省政务云现有基础设施部署，不使用公网API调用，数据全程内网闭环。所需算力资源技术指标如下：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120"/>
        <w:gridCol w:w="3759"/>
        <w:gridCol w:w="3759"/>
      </w:tblGrid>
      <w:tr>
        <w:trPr>
          <w:tblHeader/>
          <w:cantSplit/>
        </w:trPr>
        <w:tc>
          <w:tcPr>
            <w:tcW w:w="2120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配置项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技术指标要求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配置说明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AI加速卡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列入信创产品目录的国产AI加速卡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满足国产化替代要求，不指定品牌型号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单卡显存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≥64GB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支撑大模型推理与多智能体并发运行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单卡算力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≥300 TFLOPS（FP16）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满足多场景智能体同步推理需求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部署数量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2张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1张承担主推理，1张承担并发负载与冗余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服务器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国产CPU、国产操作系统，支持双加速卡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适配信创软硬件生态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存储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≥2TB NVMe SSD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用于模型权重、向量知识库、审计日志存储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网络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政务内网千兆以上接入，与互联网隔离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保障数据安全合规</w:t>
            </w:r>
          </w:p>
        </w:tc>
      </w:tr>
    </w:tbl>
    <w:p>
      <w:pPr>
        <w:spacing w:before="0" w:after="60"/>
      </w:pP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上述算力卡、服务器硬件资源由江苏省政务云统一统筹供给或集中采购，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不纳入本项目预算</w:t>
      </w:r>
      <w:r>
        <w:rPr>
          <w:rFonts w:ascii="Times New Roman" w:hAnsi="Times New Roman" w:eastAsia="宋体"/>
          <w:sz w:val="21"/>
          <w:szCs w:val="21"/>
        </w:rPr>
        <w:t xml:space="preserve">；实际配置以省政务云资源供给条件确认结果为准。视频智能识别所需GPU算力已由原项目32台网络硬盘录像机覆盖（招标文件明确该设备内置GPU、支持导入视觉大模型及第三方算法插件），本次无需重复投入。</w:t>
      </w: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成本口径说明：</w:t>
      </w:r>
      <w:r>
        <w:rPr>
          <w:rFonts w:ascii="Times New Roman" w:hAnsi="Times New Roman" w:eastAsia="宋体"/>
          <w:sz w:val="21"/>
          <w:szCs w:val="21"/>
        </w:rPr>
        <w:t xml:space="preserve"> 本项目采用私有化部署，不产生按调用量计费的大模型API费用；算力资源的采购与运维成本由省政务云承担，不构成本项目支出，但属于财政资金全口径范围，需在算力资源申请环节一并说明。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（四）编制依据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本项目建设依据如下，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其中标注"待核"项，请在报送前按现行有效文本核对文号、名称与发布机关：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法律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《中华人民共和国长江保护法》。该法对长江流域禁捕执法能力建设、监测预警与信息化保障作出规定，本项目属于法定执法监管能力建设范畴。</w:t>
      </w:r>
      <w:r>
        <w:rPr>
          <w:rFonts w:ascii="Times New Roman" w:hAnsi="Times New Roman" w:eastAsia="宋体"/>
          <w:i/>
          <w:sz w:val="21"/>
          <w:szCs w:val="21"/>
        </w:rPr>
        <w:t xml:space="preserve">（待核：引用具体条款时，请核对条文序号与原文表述，避免条号或表述与现行文本不符。）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国家政策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国务院《关于深入实施"人工智能+"行动的意见》（2025年），明确推进人工智能在政务服务、社会治理等领域的规模化应用。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智能体应用的规范性要求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i/>
          <w:sz w:val="21"/>
          <w:szCs w:val="21"/>
        </w:rPr>
        <w:t xml:space="preserve">（待核）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近期国家层面就智能体规范应用、安全基本要求发布了相关政策文件与标准。本项目按现行有效文本执行，具体文件名称、发布机关、标准编号以官方正式发布为准。</w:t>
      </w: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提示：</w:t>
      </w:r>
      <w:r>
        <w:rPr>
          <w:rFonts w:ascii="Times New Roman" w:hAnsi="Times New Roman" w:eastAsia="宋体"/>
          <w:sz w:val="21"/>
          <w:szCs w:val="21"/>
        </w:rPr>
        <w:t xml:space="preserve"> 强制性国家标准的规范引用格式为"GB □□□□□—□□□□《标准名称》"；"国标委〔年份〕□号"为国家标准化管理委员会行政公文文号，不能作为标准编号引用。报送前请核实并采用规范格式。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行业实践参考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i/>
          <w:sz w:val="21"/>
          <w:szCs w:val="21"/>
        </w:rPr>
        <w:t xml:space="preserve">（待核）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农业农村部及相关单位在长江禁捕智能监管方向已有实践成果，可作为本项目技术路线可行性的参考。</w:t>
      </w: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提示：</w:t>
      </w:r>
      <w:r>
        <w:rPr>
          <w:rFonts w:ascii="Times New Roman" w:hAnsi="Times New Roman" w:eastAsia="宋体"/>
          <w:sz w:val="21"/>
          <w:szCs w:val="21"/>
        </w:rPr>
        <w:t xml:space="preserve"> 引用其他项目的准确率、响应时长等具体指标时，宜说明该指标为他方项目实测值、不作为本项目验收承诺；否则可能在验收环节被直接援引为考核标准。</w:t>
      </w: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二、项目背景与建设合规性、必要性、合理性、可行性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（一）项目提出背景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长江流域重点水域禁捕执法装备设施建设项目（综合管理平台和电子围栏）于2024年12月完成方案设计，2025年10月启动招标建设。原方案设计阶段，AI智能体技术尚未成熟，平台主要依托传统机器视觉与规则引擎实现基础事件告警、单一目标识别，解决的是"看得见、采得到"的问题，不具备任务自主拆解、历史记忆关联、工具自主调用、人机协同研判、闭环迭代优化的能力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截至2026年，大语言模型、检索增强生成、多智能体协同框架等技术已实现工程化落地，国产大模型底座、信创软硬件适配、内网私有化部署方案趋于完备，政务AI智能体已从技术试点进入规模化应用阶段。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为破解渔政执法人工研判效率低、线索碎片化、模型固化不迭代等实际问题，本次依托现有在建平台增量叠加AI智能体核心能力，推动渔政监管模式由"人海巡查、人工研判、被动处置"向"智能感知、自主研判、协同调度、闭环优化"转变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（二）合规性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上位法律依据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本项目依据《中华人民共和国长江保护法》关于强化长江流域禁捕执法能力、加强监测预警与信息化保障的规定建设，属于法定执法监管能力升级范畴。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国家政策导向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项目建设契合"人工智能+"国家战略部署，建设内容、安全标准、应用模式在国家政策框架内。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信创合规与数据安全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大模型推理、知识库检索、智能体调度全部在政务内网完成，与互联网隔离，敏感执法数据不出域。系统执行RBAC最小权限管控，AI仅在授权范围作业，操作留存不可篡改审计日志，符合信创要求与网络安全等级保护三级标准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AI在执法中的定位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AI仅作为辅助工具，不替代执法人员法定职权。</w:t>
      </w:r>
      <w:r>
        <w:rPr>
          <w:rFonts w:ascii="Times New Roman" w:hAnsi="Times New Roman" w:eastAsia="宋体"/>
          <w:sz w:val="21"/>
          <w:szCs w:val="21"/>
        </w:rPr>
        <w:t xml:space="preserve"> 行政处罚决定由执法人员依法作出并签字负责，AI输出的研判结论、等级判定、处罚幅度建议均为参考意见，须经执法人员确认后方可进入后续流程。低置信度、无法规依据、高风险操作三类场景强制转人工。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5. 政府采购程序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本次为原招标采购需求之外的新增事项，适用的变更或新增采购程序需由采购人会同财政、发展改革部门确认后履行；同时需核对本次内容是否在《省发展改革委关于本项目可行性研究报告的批复》（苏发改投资发〔2024〕87号）确定的建设范围内。招标文件第三章明确"中标供应商不得将合同标的进行转包，未经采购人同意也不得采用分包的形式履行合同"，本次实施主体安排须符合该约定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（三）必要性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适配数字政府建设要求。</w:t>
      </w:r>
      <w:r>
        <w:rPr>
          <w:rFonts w:ascii="Times New Roman" w:hAnsi="Times New Roman" w:eastAsia="宋体"/>
          <w:sz w:val="21"/>
          <w:szCs w:val="21"/>
        </w:rPr>
        <w:t xml:space="preserve"> 现有平台具备传统智能化能力，但缺少智能研判与自主协同能力，需通过增量建设补齐。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破解"人少事多"结构性矛盾。</w:t>
      </w:r>
      <w:r>
        <w:rPr>
          <w:rFonts w:ascii="Times New Roman" w:hAnsi="Times New Roman" w:eastAsia="宋体"/>
          <w:sz w:val="21"/>
          <w:szCs w:val="21"/>
        </w:rPr>
        <w:t xml:space="preserve"> 江苏省五大重点湖区水域辽阔、岸线绵长、监管点位分散，传统人工巡查、人工研判模式难以实现全域全时段管控。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突破人工研判效率瓶颈。</w:t>
      </w:r>
      <w:r>
        <w:rPr>
          <w:rFonts w:ascii="Times New Roman" w:hAnsi="Times New Roman" w:eastAsia="宋体"/>
          <w:sz w:val="21"/>
          <w:szCs w:val="21"/>
        </w:rPr>
        <w:t xml:space="preserve"> 招标文件"智能预警子系统—预警分析研判"条目原文为"进行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人工</w:t>
      </w:r>
      <w:r>
        <w:rPr>
          <w:rFonts w:ascii="Times New Roman" w:hAnsi="Times New Roman" w:eastAsia="宋体"/>
          <w:sz w:val="21"/>
          <w:szCs w:val="21"/>
        </w:rPr>
        <w:t xml:space="preserve">初步研判"，核心研判环节仍依赖人工，单条违规线索研判周期以天计。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解决模型固化问题。</w:t>
      </w:r>
      <w:r>
        <w:rPr>
          <w:rFonts w:ascii="Times New Roman" w:hAnsi="Times New Roman" w:eastAsia="宋体"/>
          <w:sz w:val="21"/>
          <w:szCs w:val="21"/>
        </w:rPr>
        <w:t xml:space="preserve"> 现有视觉识别模型训练完成后固化运行，难以适配新型隐蔽捕捞、夜间偷钓、团伙违规等作案手法。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（四）合理性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投资边界清晰。</w:t>
      </w:r>
      <w:r>
        <w:rPr>
          <w:rFonts w:ascii="Times New Roman" w:hAnsi="Times New Roman" w:eastAsia="宋体"/>
          <w:sz w:val="21"/>
          <w:szCs w:val="21"/>
        </w:rPr>
        <w:t xml:space="preserve"> 本次82万元投资经逐条对标招标文件第四章"2.软件开发"287项功能条目，复用14项现有能力不投入工作量，四项深化内容不纳入本次预算，资金全部用于标书零覆盖的增量能力建设。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建设模式安全可控。</w:t>
      </w:r>
      <w:r>
        <w:rPr>
          <w:rFonts w:ascii="Times New Roman" w:hAnsi="Times New Roman" w:eastAsia="宋体"/>
          <w:sz w:val="21"/>
          <w:szCs w:val="21"/>
        </w:rPr>
        <w:t xml:space="preserve"> 采用增量叠加方式，不修改现有平台代码、不重构系统底座、不影响在建项目推进。AI能力可一键停用并回退至人工流程。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投入对应明确业务需求。</w:t>
      </w:r>
      <w:r>
        <w:rPr>
          <w:rFonts w:ascii="Times New Roman" w:hAnsi="Times New Roman" w:eastAsia="宋体"/>
          <w:sz w:val="21"/>
          <w:szCs w:val="21"/>
        </w:rPr>
        <w:t xml:space="preserve"> 资金对应6项核心能力与3项配套保障事项，针对研判效率低、线索碎片化、合规溯源难等实际问题。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（五）可行性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技术成熟。</w:t>
      </w:r>
      <w:r>
        <w:rPr>
          <w:rFonts w:ascii="Times New Roman" w:hAnsi="Times New Roman" w:eastAsia="宋体"/>
          <w:sz w:val="21"/>
          <w:szCs w:val="21"/>
        </w:rPr>
        <w:t xml:space="preserve"> 多智能体协同、检索增强生成、自然语言解析、线索关联、全链路审计均为工程化应用技术，无技术攻关风险。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业务底座完备。</w:t>
      </w:r>
      <w:r>
        <w:rPr>
          <w:rFonts w:ascii="Times New Roman" w:hAnsi="Times New Roman" w:eastAsia="宋体"/>
          <w:sz w:val="21"/>
          <w:szCs w:val="21"/>
        </w:rPr>
        <w:t xml:space="preserve"> 在建平台已建成多源预警、指挥调度、移动执法、案件办理、数据存储、视频联动全流程底座，具备叠加条件。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算力条件可落地。</w:t>
      </w:r>
      <w:r>
        <w:rPr>
          <w:rFonts w:ascii="Times New Roman" w:hAnsi="Times New Roman" w:eastAsia="宋体"/>
          <w:sz w:val="21"/>
          <w:szCs w:val="21"/>
        </w:rPr>
        <w:t xml:space="preserve"> 视频识别算力已配齐；大模型算力依托省政务云统筹部署，需完成资源供给条件确认。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实施风险可控。</w:t>
      </w:r>
      <w:r>
        <w:rPr>
          <w:rFonts w:ascii="Times New Roman" w:hAnsi="Times New Roman" w:eastAsia="宋体"/>
          <w:sz w:val="21"/>
          <w:szCs w:val="21"/>
        </w:rPr>
        <w:t xml:space="preserve"> 增量部署、独立运行、可随时回退，不影响现有系统功能及在建项目验收。</w:t>
      </w: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三、需求分析与建设内容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（一）现有平台可复用能力（直接调用，不投入工作量）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经逐条核对招标文件第四章"2.软件开发"技术要求，以下14项能力已建成，本次全部复用：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542"/>
        <w:gridCol w:w="2313"/>
        <w:gridCol w:w="2891"/>
        <w:gridCol w:w="2892"/>
      </w:tblGrid>
      <w:tr>
        <w:trPr>
          <w:tblHeader/>
          <w:cantSplit/>
        </w:trPr>
        <w:tc>
          <w:tcPr>
            <w:tcW w:w="1542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w="2313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标书条目定位</w:t>
            </w:r>
          </w:p>
        </w:tc>
        <w:tc>
          <w:tcPr>
            <w:tcW w:w="2891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已建成能力</w:t>
            </w:r>
          </w:p>
        </w:tc>
        <w:tc>
          <w:tcPr>
            <w:tcW w:w="2892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本次处置方式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门户 第4项 个人工作台－快捷入口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NLP意图分类、实体标签提取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复用为自然语言理解底层服务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2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门户 第7项 个人工作台－综合查询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大数据融合搜索、智能语义分析检索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复用为知识检索关键词通道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3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重点人员管理子系统 第3项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人脸抓拍、人脸识别报警、黑名单库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复用为人员比对能力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4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重点人员管理子系统 第7-8项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人员异常活动分析、聚集事态分析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复用为线索串联数据来源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5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执法办案应用子系统 第4-8项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执法案件评分（自动评分、结果修正、内置与自定义标准、结果展示）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复用，本次不重建案件评分能力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6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渔政装备管理应用子系统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与省海洋渔业安全监管系统装备管理模块对接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复用为装备数据来源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7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业务能力中心 第1-5项 事件中心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事件接收、联动、处置、预案与参数配置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复用为事件回写通道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8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业务能力中心 第6-9项 报表引擎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数据源配置、报表预统计、页面配置、导出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复用为报表生成能力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9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业务能力中心 第15-20项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中文分词、动态模型训练、全文检索与倒排索引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复用为文本处理底层服务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10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数据能力 第1-7项 数据建模可视化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多数据源接入、近30类图表、驾驶舱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复用为可视化能力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11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数据能力 第8-11项 数据存储管理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分布式文件系统、NoSQL、列式存储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复用为记忆库存储底座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12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数据能力 第12-22项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分布式协调、资源管理调度、容器环境、流处理引擎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复用为AI服务运行环境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13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数据能力 第29-31项 数据安全管控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鉴权中心、字段级安全控制、列脱敏、行过滤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复用为数据权限过滤能力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14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巡查执勤处置子系统 第14项 移动端设计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基于苏农云移动应用基座的移动端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复用，本次不另建移动端应用</w:t>
            </w:r>
          </w:p>
        </w:tc>
      </w:tr>
    </w:tbl>
    <w:p>
      <w:pPr>
        <w:spacing w:before="0" w:after="60"/>
      </w:pP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（二）标书零覆盖、本次新增建设内容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以下9项为招标文件未覆盖的增量内容，构成本次建设范围：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735"/>
        <w:gridCol w:w="771"/>
        <w:gridCol w:w="964"/>
        <w:gridCol w:w="1928"/>
        <w:gridCol w:w="1928"/>
        <w:gridCol w:w="2312"/>
      </w:tblGrid>
      <w:tr>
        <w:trPr>
          <w:tblHeader/>
          <w:cantSplit/>
        </w:trPr>
        <w:tc>
          <w:tcPr>
            <w:tcW w:w="1735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w="771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建设内容</w:t>
            </w:r>
          </w:p>
        </w:tc>
        <w:tc>
          <w:tcPr>
            <w:tcW w:w="964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核心功能说明</w:t>
            </w:r>
          </w:p>
        </w:tc>
        <w:tc>
          <w:tcPr>
            <w:tcW w:w="1928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依托的原有能力</w:t>
            </w:r>
          </w:p>
        </w:tc>
        <w:tc>
          <w:tcPr>
            <w:tcW w:w="1928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人天</w:t>
            </w:r>
          </w:p>
        </w:tc>
        <w:tc>
          <w:tcPr>
            <w:tcW w:w="2312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投资（万元）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多智能体协同调度中枢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任务自动拆解、智能分发、进度监控、异常兜底闭环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事件中心、巡查任务、移动终端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60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12.0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2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自然语言指令理解与任务转化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指令解析、结构化任务生成、置信度人工兜底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门户NLP意图识别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55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11.0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3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历史关联与线索串联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多维度历史数据关联、违法线索链条自动生成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人员库、船舶库、案件台账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60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12.0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4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法条检索与智能引用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法规案例结构化入库、研判依法溯源、无依据强制转人工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全文检索服务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65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13.0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5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智能自动调取与闭环执行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雷视联动后自动研判、自动查档、生成工单，高风险动作人工确认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雷视联动、云台控制、工单系统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50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6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全链路审计与安全管控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AI推理溯源、最小权限管控、全程留痕、日志分类留存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原有日志审计底座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75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15.0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7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渔政专属评测集与回归测试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构建行业场景评测数据集，模型迭代自动回归验证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无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30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6.0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8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统一模型网关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标准化大模型调用接口，实现模型替换与低耦合迭代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无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10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9</w:t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提示词安全渗透测试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防范恶意诱导、越权调用、提示词注入风险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无</w:t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5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w="1735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t xml:space="preserve"/>
            </w:r>
          </w:p>
        </w:tc>
        <w:tc>
          <w:tcPr>
            <w:tcW w:w="77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w="964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t xml:space="preserve"/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t xml:space="preserve"/>
            </w:r>
          </w:p>
        </w:tc>
        <w:tc>
          <w:tcPr>
            <w:tcW w:w="1928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410</w:t>
            </w:r>
          </w:p>
        </w:tc>
        <w:tc>
          <w:tcPr>
            <w:tcW w:w="231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82.0</w:t>
            </w:r>
          </w:p>
        </w:tc>
      </w:tr>
    </w:tbl>
    <w:p>
      <w:pPr>
        <w:spacing w:before="0" w:after="60"/>
      </w:pP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（三）不纳入本次建设范围的内容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以下四项为在招标文件已建能力基础上的深化增强内容。经核定，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本次不纳入建设范围、不列支预算</w:t>
      </w:r>
      <w:r>
        <w:rPr>
          <w:rFonts w:ascii="Times New Roman" w:hAnsi="Times New Roman" w:eastAsia="宋体"/>
          <w:sz w:val="21"/>
          <w:szCs w:val="21"/>
        </w:rPr>
        <w:t xml:space="preserve">，后续视实际需要另行论证：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120"/>
        <w:gridCol w:w="3759"/>
        <w:gridCol w:w="3759"/>
      </w:tblGrid>
      <w:tr>
        <w:trPr>
          <w:tblHeader/>
          <w:cantSplit/>
        </w:trPr>
        <w:tc>
          <w:tcPr>
            <w:tcW w:w="2120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招标文件已有基础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本次处理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视频智能识别增强（动作级识别、夜间识别、跨点位重识别）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AI中台第24-27项算法场景适配服务：人员捕捞钓鱼AI识别算法等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不纳入本次范围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执法调度派单智能化及处置结果回流训练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智能预警子系统预警闭环处理；指挥调度子系统预案启动与协同会商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不纳入本次范围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NL2SQL自然语言查询与智能报表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数据能力数据建模可视化；业务能力中心报表引擎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不纳入本次范围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智能巡查增强（人员轨迹、影像水印归档、巡查AI质检）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执勤点船舶定位系统；巡查执勤处置子系统巡查路径管理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不纳入本次范围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说明：</w:t>
      </w:r>
      <w:r>
        <w:rPr>
          <w:rFonts w:ascii="Times New Roman" w:hAnsi="Times New Roman" w:eastAsia="宋体"/>
          <w:sz w:val="21"/>
          <w:szCs w:val="21"/>
        </w:rPr>
        <w:t xml:space="preserve"> 上述四项不属于原招标合同约定的建设内容，本次亦不列支预算，因此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不构成对原合同承建单位的额外履约要求</w:t>
      </w:r>
      <w:r>
        <w:rPr>
          <w:rFonts w:ascii="Times New Roman" w:hAnsi="Times New Roman" w:eastAsia="宋体"/>
          <w:sz w:val="21"/>
          <w:szCs w:val="21"/>
        </w:rPr>
        <w:t xml:space="preserve">。如后续确需建设，应另行履行相应程序并单独测算投资。</w:t>
      </w: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四、建设前后能力对比</w:t>
      </w: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sz w:val="21"/>
          <w:szCs w:val="21"/>
        </w:rPr>
        <w:t xml:space="preserve">本章所列"新增后能力"，均对应第三章第二节已列支预算的9项建设内容；不含第三章第三节未纳入本次范围的内容。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场景一：违规预警事件处置流程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120"/>
        <w:gridCol w:w="3759"/>
        <w:gridCol w:w="3759"/>
      </w:tblGrid>
      <w:tr>
        <w:trPr>
          <w:tblHeader/>
          <w:cantSplit/>
        </w:trPr>
        <w:tc>
          <w:tcPr>
            <w:tcW w:w="2120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处置环节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现有在建平台能力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本次建设后能力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目标发现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雷达自动扫描告警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复用原有雷达告警能力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视频调阅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人工手动点开视频、调整云台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系统自动聚焦目标、调取监控画面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行为判定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人工观看画面识别违规行为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由原项目已建算法完成识别，</w:t>
            </w: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本次不新增识别算法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合规研判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人工查阅法条案例，研判周期以天计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分钟级自动匹配法规、输出研判结论并附原文引用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线索核查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人工在多模块分别查询船舶、人员历史数据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自动关联全维度历史线索，一次性呈现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任务派单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人工填报工单、电话调度人员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自动生成工单并推送，跟踪签收状态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案件归档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人工手动回填处置资料归档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移动端处置数据自动回传归档（复用原有移动端）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权责安全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全程人工负责，无AI行为记录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AI仅输出建议，人工最终确认，全过程留痕可溯</w:t>
            </w:r>
          </w:p>
        </w:tc>
      </w:tr>
    </w:tbl>
    <w:p>
      <w:pPr>
        <w:spacing w:before="0" w:after="60"/>
      </w:pP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场景二：人机协同与合规管控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120"/>
        <w:gridCol w:w="3759"/>
        <w:gridCol w:w="3759"/>
      </w:tblGrid>
      <w:tr>
        <w:trPr>
          <w:tblHeader/>
          <w:cantSplit/>
        </w:trPr>
        <w:tc>
          <w:tcPr>
            <w:tcW w:w="2120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管控环节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现有在建平台能力</w:t>
            </w:r>
          </w:p>
        </w:tc>
        <w:tc>
          <w:tcPr>
            <w:tcW w:w="3759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本次建设后能力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权限管控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用户角色权限管理（RBAC）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扩展至AI主体，AI仅在授权范围调用工具、访问数据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操作审计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记录用户登录、查询、导出等操作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增加记录AI调用了哪个模型、检索了哪些依据、输出了什么结论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异常兜底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流程节点超时转交人工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增加按置信度主动转人工、高风险操作强制人工确认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效果验证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无AI效果评测机制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建立场景评测集，模型或规则变更后执行回归测试</w:t>
            </w:r>
          </w:p>
        </w:tc>
      </w:tr>
      <w:tr>
        <w:tc>
          <w:tcPr>
            <w:tcW w:w="2120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技术迭代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—</w:t>
            </w:r>
          </w:p>
        </w:tc>
        <w:tc>
          <w:tcPr>
            <w:tcW w:w="3759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通过模型网关实现大模型替换，不改动业务代码</w:t>
            </w:r>
          </w:p>
        </w:tc>
      </w:tr>
    </w:tbl>
    <w:p>
      <w:pPr>
        <w:spacing w:before="0" w:after="60"/>
      </w:pP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五、项目实施进度安排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（一）建设工期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项目总建设周期14周，增量部署、边建设边测试、完工即试运行。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（二）分阶段实施计划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第一阶段（第1-4周）：合规底座建设。</w:t>
      </w:r>
      <w:r>
        <w:rPr>
          <w:rFonts w:ascii="Times New Roman" w:hAnsi="Times New Roman" w:eastAsia="宋体"/>
          <w:sz w:val="21"/>
          <w:szCs w:val="21"/>
        </w:rPr>
        <w:t xml:space="preserve"> 完成政务云国产化算力环境部署、大模型基座本地化部署；完成法条知识库建设、全链路审计与安全管控模块上线。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第二阶段（第5-8周）：核心能力建成。</w:t>
      </w:r>
      <w:r>
        <w:rPr>
          <w:rFonts w:ascii="Times New Roman" w:hAnsi="Times New Roman" w:eastAsia="宋体"/>
          <w:sz w:val="21"/>
          <w:szCs w:val="21"/>
        </w:rPr>
        <w:t xml:space="preserve"> 上线多智能体协同调度中枢、自然语言指令转化、历史线索串联模块，打通核心业务逻辑。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第三阶段（第9-12周）：全场景联调。</w:t>
      </w:r>
      <w:r>
        <w:rPr>
          <w:rFonts w:ascii="Times New Roman" w:hAnsi="Times New Roman" w:eastAsia="宋体"/>
          <w:sz w:val="21"/>
          <w:szCs w:val="21"/>
        </w:rPr>
        <w:t xml:space="preserve"> 完成智能自动调取执行能力集成、全业务场景联调测试、安全渗透测试、回归测试。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第四阶段（第13-14周）：试运行与验收。</w:t>
      </w:r>
      <w:r>
        <w:rPr>
          <w:rFonts w:ascii="Times New Roman" w:hAnsi="Times New Roman" w:eastAsia="宋体"/>
          <w:sz w:val="21"/>
          <w:szCs w:val="21"/>
        </w:rPr>
        <w:t xml:space="preserve"> 开展试运行、性能优化、指标校准，完成项目评测、资料归档、验收交付。</w:t>
      </w:r>
    </w:p>
    <w:p>
      <w:pPr>
        <w:pBdr>
          <w:left w:val="single" w:sz="18" w:space="6" w:color="2E5C8A"/>
        </w:pBdr>
        <w:shd w:val="clear" w:color="auto" w:fill="F2F5F9"/>
        <w:spacing w:before="160" w:after="160" w:line="300" w:lineRule="auto"/>
        <w:ind w:left="360" w:right="24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第一阶段验收标志：</w:t>
      </w:r>
      <w:r>
        <w:rPr>
          <w:rFonts w:ascii="Times New Roman" w:hAnsi="Times New Roman" w:eastAsia="宋体"/>
          <w:sz w:val="21"/>
          <w:szCs w:val="21"/>
        </w:rPr>
        <w:t xml:space="preserve"> 能完整演示一条决策链——某条预警进入后，系统检索了哪几条法条、依据什么给出研判结论、置信度为多少、由谁确认，全过程可回放、可导出。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（三）常态化运营评估机制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系统上线后建立常态化运营评估体系，对AI研判准确率、任务闭环率、人工采纳率、异常报错率等指标开展日常监测。建立月度评估例会制度，及时优化模型缺陷、补齐场景短板。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同时明确专人负责：</w:t>
      </w:r>
      <w:r>
        <w:rPr>
          <w:rFonts w:ascii="Times New Roman" w:hAnsi="Times New Roman" w:eastAsia="宋体"/>
          <w:sz w:val="21"/>
          <w:szCs w:val="21"/>
        </w:rPr>
        <w:t xml:space="preserve"> 指定兼职标注复核岗位，负责处置结果的标注质量复核；未明确责任人的情况下，效果评估与迭代优化机制无法实际运转。</w:t>
      </w: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六、投资估算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（一）总投资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sz w:val="21"/>
          <w:szCs w:val="21"/>
        </w:rPr>
        <w:t xml:space="preserve">项目总投资</w:t>
      </w:r>
      <w:r>
        <w:rPr>
          <w:rFonts w:ascii="Times New Roman" w:hAnsi="Times New Roman" w:eastAsia="宋体"/>
          <w:b/>
          <w:bCs/>
          <w:sz w:val="21"/>
          <w:szCs w:val="21"/>
        </w:rPr>
        <w:t xml:space="preserve">82万元</w:t>
      </w:r>
      <w:r>
        <w:rPr>
          <w:rFonts w:ascii="Times New Roman" w:hAnsi="Times New Roman" w:eastAsia="宋体"/>
          <w:sz w:val="21"/>
          <w:szCs w:val="21"/>
        </w:rPr>
        <w:t xml:space="preserve">，工作量410人天，全部为软件开发、系统集成、安全测试、评测服务费用，无硬件购置费用。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（二）估算依据与说明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工作量测算依据。</w:t>
      </w:r>
      <w:r>
        <w:rPr>
          <w:rFonts w:ascii="Times New Roman" w:hAnsi="Times New Roman" w:eastAsia="宋体"/>
          <w:sz w:val="21"/>
          <w:szCs w:val="21"/>
        </w:rPr>
        <w:t xml:space="preserve"> 参照《软件工程 软件开发成本度量规范》（GB/T 36964-2018）测算，总工作量410人天，加权平均单价2,000元／人天，结合省内同类政务信息化项目造价水平确定。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复用情况说明。</w:t>
      </w:r>
      <w:r>
        <w:rPr>
          <w:rFonts w:ascii="Times New Roman" w:hAnsi="Times New Roman" w:eastAsia="宋体"/>
          <w:sz w:val="21"/>
          <w:szCs w:val="21"/>
        </w:rPr>
        <w:t xml:space="preserve"> 本次复用招标文件已建成能力14项（详见第三章第一节），不投入工作量；另有四项深化内容不纳入本次建设范围（详见第三章第三节）。经逐条核对招标文件"2.软件开发"287项功能条目，本次建设的9项内容均为标书零覆盖的增量内容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估算精度。</w:t>
      </w:r>
      <w:r>
        <w:rPr>
          <w:rFonts w:ascii="Times New Roman" w:hAnsi="Times New Roman" w:eastAsia="宋体"/>
          <w:sz w:val="21"/>
          <w:szCs w:val="21"/>
        </w:rPr>
        <w:t xml:space="preserve"> 本阶段为项目建议书估算，允许误差±20%，最终投资额以可行性研究报告批复及财政评审结果为准。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硬件资源。</w:t>
      </w:r>
      <w:r>
        <w:rPr>
          <w:rFonts w:ascii="Times New Roman" w:hAnsi="Times New Roman" w:eastAsia="宋体"/>
          <w:sz w:val="21"/>
          <w:szCs w:val="21"/>
        </w:rPr>
        <w:t xml:space="preserve"> 国产化AI加速卡与服务器由省政务云统一供给，不占用本项目预算；视频识别算力复用原项目已配设备，无新增硬件投入。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（三）与原可行性分析报告的口径衔接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542"/>
        <w:gridCol w:w="2313"/>
        <w:gridCol w:w="2891"/>
        <w:gridCol w:w="2892"/>
      </w:tblGrid>
      <w:tr>
        <w:trPr>
          <w:tblHeader/>
          <w:cantSplit/>
        </w:trPr>
        <w:tc>
          <w:tcPr>
            <w:tcW w:w="1542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口径</w:t>
            </w:r>
          </w:p>
        </w:tc>
        <w:tc>
          <w:tcPr>
            <w:tcW w:w="2313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工作量</w:t>
            </w:r>
          </w:p>
        </w:tc>
        <w:tc>
          <w:tcPr>
            <w:tcW w:w="2891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投资</w:t>
            </w:r>
          </w:p>
        </w:tc>
        <w:tc>
          <w:tcPr>
            <w:tcW w:w="2892" w:type="dxa"/>
            <w:shd w:val="clear" w:color="auto" w:fill="DCE6F1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《可行性分析报告V5》全口径测算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710人天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142.0万元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含10大模块全部内容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减：不纳入本次范围的四项深化内容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-300人天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-60.0万元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详见第三章第三节</w:t>
            </w:r>
          </w:p>
        </w:tc>
      </w:tr>
      <w:tr>
        <w:tc>
          <w:tcPr>
            <w:tcW w:w="154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本次项目建议书投资</w:t>
            </w:r>
          </w:p>
        </w:tc>
        <w:tc>
          <w:tcPr>
            <w:tcW w:w="2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410人天</w:t>
            </w:r>
          </w:p>
        </w:tc>
        <w:tc>
          <w:tcPr>
            <w:tcW w:w="2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b/>
                <w:bCs/>
                <w:sz w:val="18"/>
                <w:szCs w:val="18"/>
              </w:rPr>
              <w:t xml:space="preserve">82.0万元</w:t>
            </w:r>
          </w:p>
        </w:tc>
        <w:tc>
          <w:tcPr>
            <w:tcW w:w="2892" w:type="dxa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before="20" w:after="20" w:line="264" w:lineRule="auto"/>
            </w:pPr>
            <w:r>
              <w:rPr>
                <w:rFonts w:ascii="Times New Roman" w:hAnsi="Times New Roman" w:eastAsia="宋体"/>
                <w:sz w:val="18"/>
                <w:szCs w:val="18"/>
              </w:rPr>
              <w:t xml:space="preserve">第三章第二节所列9项</w:t>
            </w:r>
          </w:p>
        </w:tc>
      </w:tr>
    </w:tbl>
    <w:p>
      <w:pPr>
        <w:spacing w:before="0" w:after="60"/>
      </w:pPr>
    </w:p>
    <w:p>
      <w:pPr>
        <w:pBdr>
          <w:bottom w:val="single" w:sz="6" w:space="1" w:color="BFBFBF"/>
        </w:pBdr>
        <w:spacing w:before="160" w:after="160"/>
      </w:pPr>
    </w:p>
    <w:p>
      <w:pPr>
        <w:pStyle w:val="Heading2"/>
        <w:spacing w:before="320" w:after="160" w:line="288" w:lineRule="auto"/>
      </w:pPr>
      <w:r>
        <w:rPr>
          <w:rFonts w:ascii="Arial" w:hAnsi="Arial" w:eastAsia="黑体"/>
          <w:b/>
          <w:bCs/>
          <w:sz w:val="30"/>
          <w:szCs w:val="30"/>
        </w:rPr>
        <w:t xml:space="preserve">七、结论与建议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（一）综合结论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建设合规。</w:t>
      </w:r>
      <w:r>
        <w:rPr>
          <w:rFonts w:ascii="Times New Roman" w:hAnsi="Times New Roman" w:eastAsia="宋体"/>
          <w:sz w:val="21"/>
          <w:szCs w:val="21"/>
        </w:rPr>
        <w:t xml:space="preserve"> 项目法律依据、政策导向明确，内网信创部署、数据闭环、全程审计留痕，AI仅作辅助不替代法定职权，符合政务AI执法应用的合规要求。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建设必要。</w:t>
      </w:r>
      <w:r>
        <w:rPr>
          <w:rFonts w:ascii="Times New Roman" w:hAnsi="Times New Roman" w:eastAsia="宋体"/>
          <w:sz w:val="21"/>
          <w:szCs w:val="21"/>
        </w:rPr>
        <w:t xml:space="preserve"> 可破解基层执法人力不足、人工研判效率低、系统能力固化等实际问题，是平台智能化能力的必要补充。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投资合理。</w:t>
      </w:r>
      <w:r>
        <w:rPr>
          <w:rFonts w:ascii="Times New Roman" w:hAnsi="Times New Roman" w:eastAsia="宋体"/>
          <w:sz w:val="21"/>
          <w:szCs w:val="21"/>
        </w:rPr>
        <w:t xml:space="preserve"> 增量建设、无重复投资、无硬件购置，82万元全部用于标书零覆盖的增量能力，投资边界清晰可核。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风险可控。</w:t>
      </w:r>
      <w:r>
        <w:rPr>
          <w:rFonts w:ascii="Times New Roman" w:hAnsi="Times New Roman" w:eastAsia="宋体"/>
          <w:sz w:val="21"/>
          <w:szCs w:val="21"/>
        </w:rPr>
        <w:t xml:space="preserve"> 技术成熟、底座完备、增量部署、可随时回退，实施风险低。</w:t>
      </w:r>
    </w:p>
    <w:p>
      <w:pPr>
        <w:pStyle w:val="Heading3"/>
        <w:spacing w:before="280" w:after="140" w:line="288" w:lineRule="auto"/>
      </w:pPr>
      <w:r>
        <w:rPr>
          <w:rFonts w:ascii="Arial" w:hAnsi="Arial" w:eastAsia="黑体"/>
          <w:b/>
          <w:bCs/>
          <w:sz w:val="25"/>
          <w:szCs w:val="25"/>
        </w:rPr>
        <w:t xml:space="preserve">（二）工作建议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1. 同意项目立项</w:t>
      </w:r>
      <w:r>
        <w:rPr>
          <w:rFonts w:ascii="Times New Roman" w:hAnsi="Times New Roman" w:eastAsia="宋体"/>
          <w:sz w:val="21"/>
          <w:szCs w:val="21"/>
        </w:rPr>
        <w:t xml:space="preserve">，批准新增AI智能体建设内容，核定项目投资82万元、工作量410人天。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2. 优先建设合规底座</w:t>
      </w:r>
      <w:r>
        <w:rPr>
          <w:rFonts w:ascii="Times New Roman" w:hAnsi="Times New Roman" w:eastAsia="宋体"/>
          <w:sz w:val="21"/>
          <w:szCs w:val="21"/>
        </w:rPr>
        <w:t xml:space="preserve">，将全链路审计与安全管控、法条知识库作为第一阶段建设内容，确保AI执法应用合规先行。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3. 落实前置条件。</w:t>
      </w:r>
      <w:r>
        <w:rPr>
          <w:rFonts w:ascii="Times New Roman" w:hAnsi="Times New Roman" w:eastAsia="宋体"/>
          <w:sz w:val="21"/>
          <w:szCs w:val="21"/>
        </w:rPr>
        <w:t xml:space="preserve"> 报送前完成三项确认：一是编制依据中标注"待核"的政策文件与标准，按现行有效文本核对名称、文号与发布机关；二是与省数据局对接确认政务云算力资源供给条件；三是由采购人会同财政、发展改革部门确认适用的变更或新增采购程序，并核对与苏发改投资发〔2024〕87号可研批复范围的关系。</w:t>
      </w:r>
    </w:p>
    <w:p>
      <w:pPr>
        <w:spacing w:before="60" w:after="60" w:line="300" w:lineRule="auto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4. 建立长效运营机制</w:t>
      </w:r>
      <w:r>
        <w:rPr>
          <w:rFonts w:ascii="Times New Roman" w:hAnsi="Times New Roman" w:eastAsia="宋体"/>
          <w:sz w:val="21"/>
          <w:szCs w:val="21"/>
        </w:rPr>
        <w:t xml:space="preserve">，明确评估责任人与月度评估制度，常态化开展指标评估、场景优化、模型迭代。</w:t>
      </w:r>
    </w:p>
    <w:p>
      <w:pPr>
        <w:pBdr>
          <w:bottom w:val="single" w:sz="6" w:space="1" w:color="BFBFBF"/>
        </w:pBdr>
        <w:spacing w:before="160" w:after="160"/>
      </w:pPr>
    </w:p>
    <w:p>
      <w:pPr>
        <w:spacing w:before="60" w:after="60" w:line="300" w:lineRule="auto"/>
      </w:pPr>
      <w:r>
        <w:rPr>
          <w:rFonts w:ascii="Times New Roman" w:hAnsi="Times New Roman" w:eastAsia="宋体"/>
          <w:i/>
          <w:sz w:val="21"/>
          <w:szCs w:val="21"/>
        </w:rPr>
        <w:t xml:space="preserve">本建议书的对标依据为招标文件《第四章 采购需求》全文。文中标注的标书条目定位可在招标文件原文中逐条核对；67项功能与287项标书条目的完整对照明细，另见《AI智能体建设内容可行性分析与子功能模块清单》。</w:t>
      </w:r>
    </w:p>
    <w:sectPr>
      <w:pgSz w:w="11906" w:h="16838"/>
      <w:pgMar w:top="1247" w:right="1134" w:bottom="1247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  <w:lang w:val="en-US" w:eastAsia="zh-CN"/>
      </w:rPr>
    </w:rPrDefault>
    <w:pPrDefault>
      <w:pPr>
        <w:spacing w:line="30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eastAsia="黑体"/>
      <w:b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eastAsia="黑体"/>
      <w:b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eastAsia="黑体"/>
      <w:b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eastAsia="黑体"/>
      <w:b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