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before="240" w:after="200" w:line="288" w:lineRule="auto"/>
        <w:jc w:val="center"/>
      </w:pPr>
      <w:r>
        <w:rPr>
          <w:rFonts w:ascii="Arial" w:hAnsi="Arial" w:eastAsia="黑体"/>
          <w:b/>
          <w:bCs/>
          <w:sz w:val="44"/>
          <w:szCs w:val="44"/>
        </w:rPr>
        <w:t xml:space="preserve">长江流域重点水域禁捕执法装备设施建设项目</w:t>
      </w:r>
    </w:p>
    <w:p>
      <w:pPr>
        <w:pStyle w:val="Heading2"/>
        <w:spacing w:before="320" w:after="160" w:line="288" w:lineRule="auto"/>
      </w:pPr>
      <w:r>
        <w:rPr>
          <w:rFonts w:ascii="Arial" w:hAnsi="Arial" w:eastAsia="黑体"/>
          <w:b/>
          <w:bCs/>
          <w:sz w:val="30"/>
          <w:szCs w:val="30"/>
        </w:rPr>
        <w:t xml:space="preserve">AI智能体新增事项——建设内容可行性分析与子功能模块清单</w:t>
      </w:r>
    </w:p>
    <w:p>
      <w:pPr>
        <w:spacing w:before="60" w:after="60" w:line="300" w:lineRule="auto"/>
      </w:pPr>
      <w:r>
        <w:rPr>
          <w:rFonts w:ascii="Times New Roman" w:hAnsi="Times New Roman" w:eastAsia="宋体"/>
          <w:sz w:val="21"/>
          <w:szCs w:val="21"/>
        </w:rPr>
        <w:t xml:space="preserve">（配套《AI智能体新增事项可行性分析报告V5》，用于向领导汇报与评审说明）</w:t>
      </w:r>
    </w:p>
    <w:p>
      <w:pPr>
        <w:pBdr>
          <w:bottom w:val="single" w:sz="6" w:space="1" w:color="BFBFBF"/>
        </w:pBdr>
        <w:spacing w:before="160" w:after="160"/>
      </w:pPr>
    </w:p>
    <w:p>
      <w:pPr>
        <w:pStyle w:val="Heading2"/>
        <w:spacing w:before="320" w:after="160" w:line="288" w:lineRule="auto"/>
      </w:pPr>
      <w:r>
        <w:rPr>
          <w:rFonts w:ascii="Arial" w:hAnsi="Arial" w:eastAsia="黑体"/>
          <w:b/>
          <w:bCs/>
          <w:sz w:val="30"/>
          <w:szCs w:val="30"/>
        </w:rPr>
        <w:t xml:space="preserve">一、一页读懂</w:t>
      </w:r>
    </w:p>
    <w:p>
      <w:pPr>
        <w:spacing w:before="60" w:after="60" w:line="300" w:lineRule="auto"/>
      </w:pPr>
      <w:r>
        <w:rPr>
          <w:rFonts w:ascii="Times New Roman" w:hAnsi="Times New Roman" w:eastAsia="宋体"/>
          <w:b/>
          <w:bCs/>
          <w:sz w:val="21"/>
          <w:szCs w:val="21"/>
        </w:rPr>
        <w:t xml:space="preserve">一句话说清这次要干什么：</w:t>
      </w:r>
    </w:p>
    <w:p>
      <w:pPr>
        <w:spacing w:before="60" w:after="60" w:line="300" w:lineRule="auto"/>
      </w:pPr>
      <w:r>
        <w:rPr>
          <w:rFonts w:ascii="Times New Roman" w:hAnsi="Times New Roman" w:eastAsia="宋体"/>
          <w:sz w:val="21"/>
          <w:szCs w:val="21"/>
        </w:rPr>
        <w:t xml:space="preserve">在建的平台解决的是"</w:t>
      </w:r>
      <w:r>
        <w:rPr>
          <w:rFonts w:ascii="Times New Roman" w:hAnsi="Times New Roman" w:eastAsia="宋体"/>
          <w:b/>
          <w:bCs/>
          <w:sz w:val="21"/>
          <w:szCs w:val="21"/>
        </w:rPr>
        <w:t xml:space="preserve">看得见、传得回、流程能走通</w:t>
      </w:r>
      <w:r>
        <w:rPr>
          <w:rFonts w:ascii="Times New Roman" w:hAnsi="Times New Roman" w:eastAsia="宋体"/>
          <w:sz w:val="21"/>
          <w:szCs w:val="21"/>
        </w:rPr>
        <w:t xml:space="preserve">"；这次新增的AI智能体，解决的是"</w:t>
      </w:r>
      <w:r>
        <w:rPr>
          <w:rFonts w:ascii="Times New Roman" w:hAnsi="Times New Roman" w:eastAsia="宋体"/>
          <w:b/>
          <w:bCs/>
          <w:sz w:val="21"/>
          <w:szCs w:val="21"/>
        </w:rPr>
        <w:t xml:space="preserve">看得懂、判得准、派得对、越用越准</w:t>
      </w:r>
      <w:r>
        <w:rPr>
          <w:rFonts w:ascii="Times New Roman" w:hAnsi="Times New Roman" w:eastAsia="宋体"/>
          <w:sz w:val="21"/>
          <w:szCs w:val="21"/>
        </w:rPr>
        <w:t xml:space="preserve">"。两者是上下两层的关系，不是重复建设。</w:t>
      </w:r>
    </w:p>
    <w:p>
      <w:pPr>
        <w:spacing w:before="60" w:after="60" w:line="300" w:lineRule="auto"/>
      </w:pPr>
      <w:r>
        <w:rPr>
          <w:rFonts w:ascii="Times New Roman" w:hAnsi="Times New Roman" w:eastAsia="宋体"/>
          <w:b/>
          <w:bCs/>
          <w:sz w:val="21"/>
          <w:szCs w:val="21"/>
        </w:rPr>
        <w:t xml:space="preserve">举个例子，同一条预警，前后是这样的：</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120"/>
        <w:gridCol w:w="3759"/>
        <w:gridCol w:w="3759"/>
      </w:tblGrid>
      <w:tr>
        <w:trPr>
          <w:tblHeader/>
          <w:cantSplit/>
        </w:trPr>
        <w:tc>
          <w:tcPr>
            <w:tcW w:w="2120"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环节</w:t>
            </w:r>
          </w:p>
        </w:tc>
        <w:tc>
          <w:tcPr>
            <w:tcW w:w="3759"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现在（在建平台）</w:t>
            </w:r>
          </w:p>
        </w:tc>
        <w:tc>
          <w:tcPr>
            <w:tcW w:w="3759"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加了AI智能体之后</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发现</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摄像头拍到岸边有人，系统弹出一条告警</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同上（复用现有设备与告警）</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看懂</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人工点开视频看：是钓鱼还是路过？</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AI自动识别持竿、抛竿动作，判定"正在垂钓"，并给出证据截图</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研判</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人工翻法条、翻案例，判定违法等级，耗时以"天"计</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AI自动检索法规和裁量基准，输出违法等级与处罚幅度建议，附完整依据，分钟级</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派单</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人工打电话找人，人工填工单</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AI自动算出最近的执法艇和人员，生成派单，盯签收</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归档</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人工回填表格</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移动端回传自动归档</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提升</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模型不动，明年还是这个准确率</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处置结果（正报/误报）自动回流训练，系统越用越准</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负责</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人工全程负责</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AI只出建议，最终决定仍由执法人员作出并签字负责</w:t>
            </w:r>
            <w:r>
              <w:rPr>
                <w:rFonts w:ascii="Times New Roman" w:hAnsi="Times New Roman" w:eastAsia="宋体"/>
                <w:sz w:val="18"/>
                <w:szCs w:val="18"/>
              </w:rPr>
              <w:t xml:space="preserve">（本次专设"人机协同与安全合规"模块保障）</w:t>
            </w:r>
          </w:p>
        </w:tc>
      </w:tr>
    </w:tbl>
    <w:p>
      <w:pPr>
        <w:spacing w:before="0" w:after="60"/>
      </w:pPr>
    </w:p>
    <w:p>
      <w:pPr>
        <w:spacing w:before="60" w:after="60" w:line="300" w:lineRule="auto"/>
      </w:pPr>
      <w:r>
        <w:rPr>
          <w:rFonts w:ascii="Times New Roman" w:hAnsi="Times New Roman" w:eastAsia="宋体"/>
          <w:b/>
          <w:bCs/>
          <w:sz w:val="21"/>
          <w:szCs w:val="21"/>
        </w:rPr>
        <w:t xml:space="preserve">总体可行性结论：</w:t>
      </w:r>
    </w:p>
    <w:p>
      <w:pPr>
        <w:spacing w:before="60" w:after="60" w:line="300" w:lineRule="auto"/>
      </w:pPr>
      <w:r>
        <w:rPr>
          <w:rFonts w:ascii="Times New Roman" w:hAnsi="Times New Roman" w:eastAsia="宋体"/>
          <w:sz w:val="21"/>
          <w:szCs w:val="21"/>
        </w:rPr>
        <w:t xml:space="preserve">10大模块67项功能，</w:t>
      </w:r>
      <w:r>
        <w:rPr>
          <w:rFonts w:ascii="Times New Roman" w:hAnsi="Times New Roman" w:eastAsia="宋体"/>
          <w:b/>
          <w:bCs/>
          <w:sz w:val="21"/>
          <w:szCs w:val="21"/>
        </w:rPr>
        <w:t xml:space="preserve">全部技术可行</w:t>
      </w:r>
      <w:r>
        <w:rPr>
          <w:rFonts w:ascii="Times New Roman" w:hAnsi="Times New Roman" w:eastAsia="宋体"/>
          <w:sz w:val="21"/>
          <w:szCs w:val="21"/>
        </w:rPr>
        <w:t xml:space="preserve">，其中：</w:t>
      </w:r>
    </w:p>
    <w:p>
      <w:pPr>
        <w:spacing w:before="60" w:after="60" w:line="300" w:lineRule="auto"/>
      </w:pPr>
      <w:r>
        <w:rPr>
          <w:rFonts w:ascii="Times New Roman" w:hAnsi="Times New Roman" w:eastAsia="宋体"/>
          <w:sz w:val="21"/>
          <w:szCs w:val="21"/>
        </w:rPr>
        <w:t xml:space="preserve">- </w:t>
      </w:r>
      <w:r>
        <w:rPr>
          <w:rFonts w:ascii="Times New Roman" w:hAnsi="Times New Roman" w:eastAsia="宋体"/>
          <w:b/>
          <w:bCs/>
          <w:sz w:val="21"/>
          <w:szCs w:val="21"/>
        </w:rPr>
        <w:t xml:space="preserve">6个模块为标书完全没有的新增能力</w:t>
      </w:r>
      <w:r>
        <w:rPr>
          <w:rFonts w:ascii="Times New Roman" w:hAnsi="Times New Roman" w:eastAsia="宋体"/>
          <w:sz w:val="21"/>
          <w:szCs w:val="21"/>
        </w:rPr>
        <w:t xml:space="preserve">（多智能体协作、任务规划与自主决策、记忆管理、知识库与RAG、工具调用与执行、人机协同与安全合规）；</w:t>
      </w:r>
    </w:p>
    <w:p>
      <w:pPr>
        <w:spacing w:before="60" w:after="60" w:line="300" w:lineRule="auto"/>
      </w:pPr>
      <w:r>
        <w:rPr>
          <w:rFonts w:ascii="Times New Roman" w:hAnsi="Times New Roman" w:eastAsia="宋体"/>
          <w:sz w:val="21"/>
          <w:szCs w:val="21"/>
        </w:rPr>
        <w:t xml:space="preserve">- </w:t>
      </w:r>
      <w:r>
        <w:rPr>
          <w:rFonts w:ascii="Times New Roman" w:hAnsi="Times New Roman" w:eastAsia="宋体"/>
          <w:b/>
          <w:bCs/>
          <w:sz w:val="21"/>
          <w:szCs w:val="21"/>
        </w:rPr>
        <w:t xml:space="preserve">4个模块是在标书已建能力之上的深化</w:t>
      </w:r>
      <w:r>
        <w:rPr>
          <w:rFonts w:ascii="Times New Roman" w:hAnsi="Times New Roman" w:eastAsia="宋体"/>
          <w:sz w:val="21"/>
          <w:szCs w:val="21"/>
        </w:rPr>
        <w:t xml:space="preserve">（视频智能识别、执法调度与派单、NL2SQL智能报表、智能巡查），</w:t>
      </w:r>
      <w:r>
        <w:rPr>
          <w:rFonts w:ascii="Times New Roman" w:hAnsi="Times New Roman" w:eastAsia="宋体"/>
          <w:b/>
          <w:bCs/>
          <w:sz w:val="21"/>
          <w:szCs w:val="21"/>
        </w:rPr>
        <w:t xml:space="preserve">不重建底座、不重复采购硬件</w:t>
      </w:r>
      <w:r>
        <w:rPr>
          <w:rFonts w:ascii="Times New Roman" w:hAnsi="Times New Roman" w:eastAsia="宋体"/>
          <w:sz w:val="21"/>
          <w:szCs w:val="21"/>
        </w:rPr>
        <w:t xml:space="preserve">，需在方案中逐项标注"复用/新增"以规避重复建设质疑；</w:t>
      </w:r>
    </w:p>
    <w:p>
      <w:pPr>
        <w:spacing w:before="60" w:after="60" w:line="300" w:lineRule="auto"/>
      </w:pPr>
      <w:r>
        <w:rPr>
          <w:rFonts w:ascii="Times New Roman" w:hAnsi="Times New Roman" w:eastAsia="宋体"/>
          <w:sz w:val="21"/>
          <w:szCs w:val="21"/>
        </w:rPr>
        <w:t xml:space="preserve">- </w:t>
      </w:r>
      <w:r>
        <w:rPr>
          <w:rFonts w:ascii="Times New Roman" w:hAnsi="Times New Roman" w:eastAsia="宋体"/>
          <w:b/>
          <w:bCs/>
          <w:sz w:val="21"/>
          <w:szCs w:val="21"/>
        </w:rPr>
        <w:t xml:space="preserve">3项前置条件必须先落实</w:t>
      </w:r>
      <w:r>
        <w:rPr>
          <w:rFonts w:ascii="Times New Roman" w:hAnsi="Times New Roman" w:eastAsia="宋体"/>
          <w:sz w:val="21"/>
          <w:szCs w:val="21"/>
        </w:rPr>
        <w:t xml:space="preserve">：① 在建平台的接口开放清单与时间表；② 大模型的国产化部署与等保、密评合规路径；③ 视频识别的冷启动样本来源与分阶段验收指标；</w:t>
      </w:r>
    </w:p>
    <w:p>
      <w:pPr>
        <w:spacing w:before="60" w:after="60" w:line="300" w:lineRule="auto"/>
      </w:pPr>
      <w:r>
        <w:rPr>
          <w:rFonts w:ascii="Times New Roman" w:hAnsi="Times New Roman" w:eastAsia="宋体"/>
          <w:sz w:val="21"/>
          <w:szCs w:val="21"/>
        </w:rPr>
        <w:t xml:space="preserve">- </w:t>
      </w:r>
      <w:r>
        <w:rPr>
          <w:rFonts w:ascii="Times New Roman" w:hAnsi="Times New Roman" w:eastAsia="宋体"/>
          <w:b/>
          <w:bCs/>
          <w:sz w:val="21"/>
          <w:szCs w:val="21"/>
        </w:rPr>
        <w:t xml:space="preserve">1项成本必须单列</w:t>
      </w:r>
      <w:r>
        <w:rPr>
          <w:rFonts w:ascii="Times New Roman" w:hAnsi="Times New Roman" w:eastAsia="宋体"/>
          <w:sz w:val="21"/>
          <w:szCs w:val="21"/>
        </w:rPr>
        <w:t xml:space="preserve">：大模型API调用费属持续性运营成本，不在本次建设采购范围内。</w:t>
      </w:r>
    </w:p>
    <w:p>
      <w:pPr>
        <w:pBdr>
          <w:bottom w:val="single" w:sz="6" w:space="1" w:color="BFBFBF"/>
        </w:pBdr>
        <w:spacing w:before="160" w:after="160"/>
      </w:pPr>
    </w:p>
    <w:p>
      <w:pPr>
        <w:pStyle w:val="Heading2"/>
        <w:spacing w:before="320" w:after="160" w:line="288" w:lineRule="auto"/>
      </w:pPr>
      <w:r>
        <w:rPr>
          <w:rFonts w:ascii="Arial" w:hAnsi="Arial" w:eastAsia="黑体"/>
          <w:b/>
          <w:bCs/>
          <w:sz w:val="30"/>
          <w:szCs w:val="30"/>
        </w:rPr>
        <w:t xml:space="preserve">二、判断依据：标书里已经有什么、还缺什么</w:t>
      </w:r>
    </w:p>
    <w:p>
      <w:pPr>
        <w:spacing w:before="60" w:after="60" w:line="300" w:lineRule="auto"/>
      </w:pPr>
      <w:r>
        <w:rPr>
          <w:rFonts w:ascii="Times New Roman" w:hAnsi="Times New Roman" w:eastAsia="宋体"/>
          <w:sz w:val="21"/>
          <w:szCs w:val="21"/>
        </w:rPr>
        <w:t xml:space="preserve">本次可行性判断，逐条比对了标书《第四章 采购需求》的全部建设内容。标书已建成的能力如下：</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120"/>
        <w:gridCol w:w="3759"/>
        <w:gridCol w:w="3759"/>
      </w:tblGrid>
      <w:tr>
        <w:trPr>
          <w:tblHeader/>
          <w:cantSplit/>
        </w:trPr>
        <w:tc>
          <w:tcPr>
            <w:tcW w:w="2120"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标书已建能力</w:t>
            </w:r>
          </w:p>
        </w:tc>
        <w:tc>
          <w:tcPr>
            <w:tcW w:w="3759"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具体内容（摘自第四章）</w:t>
            </w:r>
          </w:p>
        </w:tc>
        <w:tc>
          <w:tcPr>
            <w:tcW w:w="3759"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对本次AI智能体的作用</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智能预警子系统（22项）</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视频巡逻、雷视联动、智能分析、无人机联动、AIS、船舶汇聚等6类预警识别；预警规则配置；预警研判（人工）；预警取证；预警闭环处理；预警统计</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提供告警来源和"预警—研判—签收—处置—审核"流程壳，AI在既有节点上接入自动研判</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重点人员管理子系统（16项）</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人脸库、识别预警、布控管理、态势感知、事件档案与事件分析</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提供重点人员画像的底层数据，AI不重复采集</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巡查执勤处置子系统（14项）</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工作台、任务创建与流程配置、巡查路径管理、视频巡查、图片巡查、任务签收/调度/反馈、移动端</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提供巡查业务流程与"苏农云"移动应用基座，AI不另建APP</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指挥调度子系统</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GIS地图、融合通信、执法力量实时位置与调度</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提供AI派单结果的执行通道</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业务能力中心</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事件中心（接收/联动/处置/预案/参数配置）、报表引擎、地图服务</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AI工具调用与事件回写的对接点</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数据能力</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数据源接入、工作表、业务建模、驾驶舱、近30种图表类型、大数据存储与计算引擎</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NL2SQL的数据底座与图表渲染层，AI不重建BI</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AI中台</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人脸/人体/车辆/船只属性识别、区域入侵、视频结构化；算法调度（弹性伸缩、分时复用、倍速分析等）；算法仓库；算法策略编排；渔船捕鱼、人员垂钓、船舶非法入侵、船只种类、漂浮物、水位6类场景算法</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提供算力调度与基础识别算法，AI智能体在其上做动作级、夜间、多人、跨点位的精度增强</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系统对接</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苏农云服务总线、省海洋渔业安全监管系统、公安"雪亮工程"</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跨系统工具代理的通道</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多元联合感知平台</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雷达、AIS、北斗、视频、无人机、船载、单兵执法记录仪、甚高频8类数据接入</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多源融合研判的数据来源</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硬件设备</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双光谱重载云台32台（热成像640×512、激光补光≥3km）、全固态雷达12台、网络硬盘录像机32台（内置GPU、</w:t>
            </w:r>
            <w:r>
              <w:rPr>
                <w:rFonts w:ascii="Times New Roman" w:hAnsi="Times New Roman" w:eastAsia="宋体"/>
                <w:b/>
                <w:bCs/>
                <w:sz w:val="18"/>
                <w:szCs w:val="18"/>
              </w:rPr>
              <w:t xml:space="preserve">支持视觉大模型导入与第三方算法插件导入</w:t>
            </w:r>
            <w:r>
              <w:rPr>
                <w:rFonts w:ascii="Times New Roman" w:hAnsi="Times New Roman" w:eastAsia="宋体"/>
                <w:sz w:val="18"/>
                <w:szCs w:val="18"/>
              </w:rPr>
              <w:t xml:space="preserve">）、无人机5架、船载主机112台</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视频识别与工具调用的物理载体，</w:t>
            </w:r>
            <w:r>
              <w:rPr>
                <w:rFonts w:ascii="Times New Roman" w:hAnsi="Times New Roman" w:eastAsia="宋体"/>
                <w:b/>
                <w:bCs/>
                <w:sz w:val="18"/>
                <w:szCs w:val="18"/>
              </w:rPr>
              <w:t xml:space="preserve">本次无需新购算力硬件</w:t>
            </w:r>
          </w:p>
        </w:tc>
      </w:tr>
    </w:tbl>
    <w:p>
      <w:pPr>
        <w:spacing w:before="0" w:after="60"/>
      </w:pPr>
    </w:p>
    <w:p>
      <w:pPr>
        <w:spacing w:before="60" w:after="60" w:line="300" w:lineRule="auto"/>
      </w:pPr>
      <w:r>
        <w:rPr>
          <w:rFonts w:ascii="Times New Roman" w:hAnsi="Times New Roman" w:eastAsia="宋体"/>
          <w:b/>
          <w:bCs/>
          <w:sz w:val="21"/>
          <w:szCs w:val="21"/>
        </w:rPr>
        <w:t xml:space="preserve">标书还缺什么（也就是本次要补的）：</w:t>
      </w:r>
    </w:p>
    <w:p>
      <w:pPr>
        <w:spacing w:before="60" w:after="60" w:line="300" w:lineRule="auto"/>
        <w:ind w:firstLine="0" w:left="360"/>
      </w:pPr>
      <w:r>
        <w:rPr>
          <w:rFonts w:ascii="Times New Roman" w:hAnsi="Times New Roman" w:eastAsia="宋体"/>
          <w:sz w:val="21"/>
          <w:szCs w:val="21"/>
        </w:rPr>
        <w:t xml:space="preserve">1. 缺"会思考的大脑"——标书的AI中台管的是"算法怎么调度到GPU上跑"，没有"业务上谁来拆任务、谁来做判断"；</w:t>
      </w:r>
    </w:p>
    <w:p>
      <w:pPr>
        <w:spacing w:before="60" w:after="60" w:line="300" w:lineRule="auto"/>
        <w:ind w:firstLine="0" w:left="360"/>
      </w:pPr>
      <w:r>
        <w:rPr>
          <w:rFonts w:ascii="Times New Roman" w:hAnsi="Times New Roman" w:eastAsia="宋体"/>
          <w:sz w:val="21"/>
          <w:szCs w:val="21"/>
        </w:rPr>
        <w:t xml:space="preserve">2. 缺"记忆"——每条预警都是独立处理，系统不记得这条船、这个人以前干过什么；</w:t>
      </w:r>
    </w:p>
    <w:p>
      <w:pPr>
        <w:spacing w:before="60" w:after="60" w:line="300" w:lineRule="auto"/>
        <w:ind w:firstLine="0" w:left="360"/>
      </w:pPr>
      <w:r>
        <w:rPr>
          <w:rFonts w:ascii="Times New Roman" w:hAnsi="Times New Roman" w:eastAsia="宋体"/>
          <w:sz w:val="21"/>
          <w:szCs w:val="21"/>
        </w:rPr>
        <w:t xml:space="preserve">3. 缺"法律知识"——法条和裁量基准没有进系统，研判全靠人工翻;</w:t>
      </w:r>
    </w:p>
    <w:p>
      <w:pPr>
        <w:spacing w:before="60" w:after="60" w:line="300" w:lineRule="auto"/>
        <w:ind w:firstLine="0" w:left="360"/>
      </w:pPr>
      <w:r>
        <w:rPr>
          <w:rFonts w:ascii="Times New Roman" w:hAnsi="Times New Roman" w:eastAsia="宋体"/>
          <w:sz w:val="21"/>
          <w:szCs w:val="21"/>
        </w:rPr>
        <w:t xml:space="preserve">4. 缺"动手能力"——识别归识别，识别完不能自己去调云台、发工单、写文书；</w:t>
      </w:r>
    </w:p>
    <w:p>
      <w:pPr>
        <w:spacing w:before="60" w:after="60" w:line="300" w:lineRule="auto"/>
        <w:ind w:firstLine="0" w:left="360"/>
      </w:pPr>
      <w:r>
        <w:rPr>
          <w:rFonts w:ascii="Times New Roman" w:hAnsi="Times New Roman" w:eastAsia="宋体"/>
          <w:sz w:val="21"/>
          <w:szCs w:val="21"/>
        </w:rPr>
        <w:t xml:space="preserve">5. 缺"自我进化"——模型训练完就固化了，一线处置结果不会回流；</w:t>
      </w:r>
    </w:p>
    <w:p>
      <w:pPr>
        <w:spacing w:before="60" w:after="60" w:line="300" w:lineRule="auto"/>
        <w:ind w:firstLine="0" w:left="360"/>
      </w:pPr>
      <w:r>
        <w:rPr>
          <w:rFonts w:ascii="Times New Roman" w:hAnsi="Times New Roman" w:eastAsia="宋体"/>
          <w:sz w:val="21"/>
          <w:szCs w:val="21"/>
        </w:rPr>
        <w:t xml:space="preserve">6. 缺"AI管控机制"——AI进入执法环节，谁负责、怎么留痕、错了怎么兜底，标书里没有对应条款。</w:t>
      </w:r>
    </w:p>
    <w:p>
      <w:pPr>
        <w:pBdr>
          <w:bottom w:val="single" w:sz="6" w:space="1" w:color="BFBFBF"/>
        </w:pBdr>
        <w:spacing w:before="160" w:after="160"/>
      </w:pPr>
    </w:p>
    <w:p>
      <w:pPr>
        <w:pStyle w:val="Heading2"/>
        <w:spacing w:before="320" w:after="160" w:line="288" w:lineRule="auto"/>
      </w:pPr>
      <w:r>
        <w:rPr>
          <w:rFonts w:ascii="Arial" w:hAnsi="Arial" w:eastAsia="黑体"/>
          <w:b/>
          <w:bCs/>
          <w:sz w:val="30"/>
          <w:szCs w:val="30"/>
        </w:rPr>
        <w:t xml:space="preserve">三、可行性总体判断（五个维度）</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120"/>
        <w:gridCol w:w="3759"/>
        <w:gridCol w:w="3759"/>
      </w:tblGrid>
      <w:tr>
        <w:trPr>
          <w:tblHeader/>
          <w:cantSplit/>
        </w:trPr>
        <w:tc>
          <w:tcPr>
            <w:tcW w:w="2120"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维度</w:t>
            </w:r>
          </w:p>
        </w:tc>
        <w:tc>
          <w:tcPr>
            <w:tcW w:w="3759"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判断</w:t>
            </w:r>
          </w:p>
        </w:tc>
        <w:tc>
          <w:tcPr>
            <w:tcW w:w="3759"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说明</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技术可行性</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可行</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Multi-Agent协作、RAG检索增强、NL2SQL、视频行为识别均已有成熟开源框架与商用方案，属工程集成，不属算法攻关。67项功能中无一项依赖未验证技术</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业务可行性</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可行</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全部功能均对应标书已明确的业务场景与用户角色，无凭空设想的新业务；AI承担的是"建议"角色，不改变现有执法权责体系</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合规可行性</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可行，有前置条件</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大模型须选国产底座、部署于政务云内网、数据不出域，方可满足标书要求的等保三级、信创国产化与密评；AI输出须经人工确认后方可作为执法依据，需法制部门书面确认边界</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衔接可行性</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可行，需明确接口清单</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采用增量叠加、不重构原系统的方式建设。最大依赖项是在建平台的接口开放（云台控制、无人机调度、工单下发、数据查询等），建议将"接口清单+开放时间表"作为前置条件写入实施计划</w:t>
            </w:r>
          </w:p>
        </w:tc>
      </w:tr>
      <w:tr>
        <w:tc>
          <w:tcPr>
            <w:tcW w:w="212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投资可行性</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可行，需单列运营费</w:t>
            </w:r>
          </w:p>
        </w:tc>
        <w:tc>
          <w:tcPr>
            <w:tcW w:w="3759"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710人天、142万元建设费用不含大模型API调用费。按V5报告测算，正常运营约9000元/月；若依托江苏省政务云已有大模型资源，该费用可由政务云统一承担</w:t>
            </w:r>
          </w:p>
        </w:tc>
      </w:tr>
    </w:tbl>
    <w:p>
      <w:pPr>
        <w:spacing w:before="0" w:after="60"/>
      </w:pPr>
    </w:p>
    <w:p>
      <w:pPr>
        <w:pBdr>
          <w:bottom w:val="single" w:sz="6" w:space="1" w:color="BFBFBF"/>
        </w:pBdr>
        <w:spacing w:before="160" w:after="160"/>
      </w:pPr>
    </w:p>
    <w:p>
      <w:pPr>
        <w:pStyle w:val="Heading2"/>
        <w:spacing w:before="320" w:after="160" w:line="288" w:lineRule="auto"/>
      </w:pPr>
      <w:r>
        <w:rPr>
          <w:rFonts w:ascii="Arial" w:hAnsi="Arial" w:eastAsia="黑体"/>
          <w:b/>
          <w:bCs/>
          <w:sz w:val="30"/>
          <w:szCs w:val="30"/>
        </w:rPr>
        <w:t xml:space="preserve">四、10大模块建设内容详解与子功能模块清单</w:t>
      </w:r>
    </w:p>
    <w:p>
      <w:pPr>
        <w:pBdr>
          <w:left w:val="single" w:sz="18" w:space="6" w:color="2E5C8A"/>
        </w:pBdr>
        <w:shd w:val="clear" w:color="auto" w:fill="F2F5F9"/>
        <w:spacing w:before="160" w:after="160" w:line="300" w:lineRule="auto"/>
        <w:ind w:left="360" w:right="240"/>
      </w:pPr>
      <w:r>
        <w:rPr>
          <w:rFonts w:ascii="Times New Roman" w:hAnsi="Times New Roman" w:eastAsia="宋体"/>
          <w:sz w:val="21"/>
          <w:szCs w:val="21"/>
        </w:rPr>
        <w:t xml:space="preserve">说明：下列每个模块先用一段话讲清"这个模块到底干什么"，再列出可交付、可验收的子功能模块。"与标书关系"一栏中：</w:t>
      </w:r>
      <w:r>
        <w:rPr>
          <w:rFonts w:ascii="Times New Roman" w:hAnsi="Times New Roman" w:eastAsia="宋体"/>
          <w:b/>
          <w:bCs/>
          <w:sz w:val="21"/>
          <w:szCs w:val="21"/>
        </w:rPr>
        <w:t xml:space="preserve">新增</w:t>
      </w:r>
      <w:r>
        <w:rPr>
          <w:rFonts w:ascii="Times New Roman" w:hAnsi="Times New Roman" w:eastAsia="宋体"/>
          <w:sz w:val="21"/>
          <w:szCs w:val="21"/>
        </w:rPr>
        <w:t xml:space="preserve">＝标书无对应内容；</w:t>
      </w:r>
      <w:r>
        <w:rPr>
          <w:rFonts w:ascii="Times New Roman" w:hAnsi="Times New Roman" w:eastAsia="宋体"/>
          <w:b/>
          <w:bCs/>
          <w:sz w:val="21"/>
          <w:szCs w:val="21"/>
        </w:rPr>
        <w:t xml:space="preserve">深化</w:t>
      </w:r>
      <w:r>
        <w:rPr>
          <w:rFonts w:ascii="Times New Roman" w:hAnsi="Times New Roman" w:eastAsia="宋体"/>
          <w:sz w:val="21"/>
          <w:szCs w:val="21"/>
        </w:rPr>
        <w:t xml:space="preserve">＝标书有基础能力，本次做精度或场景增强；</w:t>
      </w:r>
      <w:r>
        <w:rPr>
          <w:rFonts w:ascii="Times New Roman" w:hAnsi="Times New Roman" w:eastAsia="宋体"/>
          <w:b/>
          <w:bCs/>
          <w:sz w:val="21"/>
          <w:szCs w:val="21"/>
        </w:rPr>
        <w:t xml:space="preserve">复用</w:t>
      </w:r>
      <w:r>
        <w:rPr>
          <w:rFonts w:ascii="Times New Roman" w:hAnsi="Times New Roman" w:eastAsia="宋体"/>
          <w:sz w:val="21"/>
          <w:szCs w:val="21"/>
        </w:rPr>
        <w:t xml:space="preserve">＝直接调用标书已建能力，本次不重复建设。</w:t>
      </w:r>
    </w:p>
    <w:p>
      <w:pPr>
        <w:pStyle w:val="Heading3"/>
        <w:spacing w:before="280" w:after="140" w:line="288" w:lineRule="auto"/>
      </w:pPr>
      <w:r>
        <w:rPr>
          <w:rFonts w:ascii="Arial" w:hAnsi="Arial" w:eastAsia="黑体"/>
          <w:b/>
          <w:bCs/>
          <w:sz w:val="25"/>
          <w:szCs w:val="25"/>
        </w:rPr>
        <w:t xml:space="preserve">4.1 模块一：多智能体协作框架（7项功能 / 29个子功能模块）</w:t>
      </w:r>
    </w:p>
    <w:p>
      <w:pPr>
        <w:spacing w:before="60" w:after="60" w:line="300" w:lineRule="auto"/>
      </w:pPr>
      <w:r>
        <w:rPr>
          <w:rFonts w:ascii="Times New Roman" w:hAnsi="Times New Roman" w:eastAsia="宋体"/>
          <w:b/>
          <w:bCs/>
          <w:sz w:val="21"/>
          <w:szCs w:val="21"/>
        </w:rPr>
        <w:t xml:space="preserve">这个模块干什么：</w:t>
      </w:r>
      <w:r>
        <w:rPr>
          <w:rFonts w:ascii="Times New Roman" w:hAnsi="Times New Roman" w:eastAsia="宋体"/>
          <w:sz w:val="21"/>
          <w:szCs w:val="21"/>
        </w:rPr>
        <w:t xml:space="preserve"> 相当于给平台配一个"AI执法专班"——一个班长带五个专业组员。班长（监督调度Agent）接到任务后负责拆活、派活、盯进度、处理异常；五个组员各管一段：看视频的、做研判的、派任务的、审案卷的。以前这些活全靠人在各个模块之间来回切换，现在由AI在后台自动串起来。</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75"/>
        <w:gridCol w:w="1446"/>
        <w:gridCol w:w="1735"/>
        <w:gridCol w:w="3952"/>
        <w:gridCol w:w="1830"/>
      </w:tblGrid>
      <w:tr>
        <w:trPr>
          <w:tblHeader/>
          <w:cantSplit/>
        </w:trPr>
        <w:tc>
          <w:tcPr>
            <w:tcW w:w="67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序号</w:t>
            </w:r>
          </w:p>
        </w:tc>
        <w:tc>
          <w:tcPr>
            <w:tcW w:w="1446"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功能模块</w:t>
            </w:r>
          </w:p>
        </w:tc>
        <w:tc>
          <w:tcPr>
            <w:tcW w:w="173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子功能模块</w:t>
            </w:r>
          </w:p>
        </w:tc>
        <w:tc>
          <w:tcPr>
            <w:tcW w:w="3952"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建设内容说明</w:t>
            </w:r>
          </w:p>
        </w:tc>
        <w:tc>
          <w:tcPr>
            <w:tcW w:w="1830"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与标书关系</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1</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监督调度Agent</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任务受理与意图归集</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统一接收预警事件、领导指令、定时任务三类输入，归集为待处理任务</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子任务拆分与分派</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把一个复杂任务拆成若干可执行子任务，分派给对应的专业Agent</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执行进度监控与超时接管</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实时看板监控每个子任务的执行状态，超时自动接管或改派</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异常兜底与人工升级</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子任务失败或结果异常时，自动升级推送给值班人员</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视觉感知Agent</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视频流订阅与轮询取流</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按点位和时段策略主动订阅视频流，不再被动等设备报警</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深化（复用标书视频接入通道）</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行为初判与事件生成</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对画面中的行为做初步判断，生成结构化事件</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证据抓取与打包</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自动抓图、截取告警前后短视频，打包为证据材料</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主动上报与重复告警合并</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同一目标短时间内的多次触发自动合并为一条，减少无效告警</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智能研判Agent</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多源证据汇总</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自动调取该时段该水域的视频、雷达、AIS、北斗、人脸数据并关联</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法规案例检索（调用RAG）</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根据事实要素检索适用法条与相似案例</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违法情形认定与等级判定</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输出违法行为定性和事件等级（对应标书的预警等级体系）</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处罚幅度建议</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依据裁量基准给出处罚区间建议，供执法人员参考</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研判报告与推理链输出</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生成一页纸研判报告，附完整推理过程和引用来源</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4</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执法调度Agent</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可用执法力量盘点</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汇总当前在岗人员、执法艇、装备的实时状态</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新增（数据复用标书指挥调度子系统）</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就近与能力匹配推荐</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综合距离、资质、装备匹配度推荐出动力量</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出动路线规划</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结合水域可达性规划最优航线</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派单生成与下发</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自动生成任务单并通过既有工单系统下发</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5</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执法办案Agent</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案卷要素完整性核查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自动检查案卷必备材料是否齐全</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程序合规性检查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检查办案时限、告知、送达等程序节点是否合规</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案件质量评分与瑕疵提示</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输出案件质量评分并指出具体瑕疵点</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文书要素自动填充建议</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根据案件事实自动填充文书要素，供办案人员核对修改</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6</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Agent间通信协议</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消息格式与语义规范</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统一定义Agent之间传递的消息结构</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优先级与队列调度</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紧急事件优先处理，普通事件排队</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超时重试与幂等控制</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消息超时自动重试，且不会重复执行造成重复派单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全链路会话追踪</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一个事件从发现到归档全过程可用同一个ID串起来查</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7</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任务编排引擎</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可视化流程画布</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业务人员用拖拽方式配置多Agent协作流程，不需要写代码</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编排模板库</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预置预警处置、专项行动、夜间巡查等常用流程模板</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版本管理与灰度发布</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流程改动可保存版本、可小范围试运行后再全量启用</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运行监控与流程回溯</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查看每个流程实例的实际执行路径，便于复盘</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bl>
    <w:p>
      <w:pPr>
        <w:spacing w:before="0" w:after="60"/>
      </w:pPr>
    </w:p>
    <w:p>
      <w:pPr>
        <w:spacing w:before="60" w:after="60" w:line="300" w:lineRule="auto"/>
      </w:pPr>
      <w:r>
        <w:rPr>
          <w:rFonts w:ascii="Times New Roman" w:hAnsi="Times New Roman" w:eastAsia="宋体"/>
          <w:b/>
          <w:bCs/>
          <w:sz w:val="21"/>
          <w:szCs w:val="21"/>
        </w:rPr>
        <w:t xml:space="preserve">可行性结论：可行。</w:t>
      </w:r>
      <w:r>
        <w:rPr>
          <w:rFonts w:ascii="Times New Roman" w:hAnsi="Times New Roman" w:eastAsia="宋体"/>
          <w:sz w:val="21"/>
          <w:szCs w:val="21"/>
        </w:rPr>
        <w:t xml:space="preserve"> 本模块Agent数量少（1个总控+5个专业）、职责边界清晰，属于成熟框架上的工程集成。需注意与标书"AI中台—算法调度"区分：后者调度的是GPU算力和算法实例，本模块调度的是业务任务，两者层次不同，不构成重复。</w:t>
      </w:r>
    </w:p>
    <w:p>
      <w:pPr>
        <w:pBdr>
          <w:bottom w:val="single" w:sz="6" w:space="1" w:color="BFBFBF"/>
        </w:pBdr>
        <w:spacing w:before="160" w:after="160"/>
      </w:pPr>
    </w:p>
    <w:p>
      <w:pPr>
        <w:pStyle w:val="Heading3"/>
        <w:spacing w:before="280" w:after="140" w:line="288" w:lineRule="auto"/>
      </w:pPr>
      <w:r>
        <w:rPr>
          <w:rFonts w:ascii="Arial" w:hAnsi="Arial" w:eastAsia="黑体"/>
          <w:b/>
          <w:bCs/>
          <w:sz w:val="25"/>
          <w:szCs w:val="25"/>
        </w:rPr>
        <w:t xml:space="preserve">4.2 模块二：任务规划与自主决策（7项功能 / 27个子功能模块）</w:t>
      </w:r>
    </w:p>
    <w:p>
      <w:pPr>
        <w:spacing w:before="60" w:after="60" w:line="300" w:lineRule="auto"/>
      </w:pPr>
      <w:r>
        <w:rPr>
          <w:rFonts w:ascii="Times New Roman" w:hAnsi="Times New Roman" w:eastAsia="宋体"/>
          <w:b/>
          <w:bCs/>
          <w:sz w:val="21"/>
          <w:szCs w:val="21"/>
        </w:rPr>
        <w:t xml:space="preserve">这个模块干什么：</w:t>
      </w:r>
      <w:r>
        <w:rPr>
          <w:rFonts w:ascii="Times New Roman" w:hAnsi="Times New Roman" w:eastAsia="宋体"/>
          <w:sz w:val="21"/>
          <w:szCs w:val="21"/>
        </w:rPr>
        <w:t xml:space="preserve"> 让系统"听得懂人话、拆得开活、拿得准主意、拿不准会举手"。领导说一句"这周末重点盯洪泽湖夜钓"，系统能自己理解成一组具体任务并安排下去；同时给每个判断打一个"把握度"分数，把握不足的自动交回人工，绝不硬着头皮下结论。</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75"/>
        <w:gridCol w:w="1446"/>
        <w:gridCol w:w="1735"/>
        <w:gridCol w:w="3952"/>
        <w:gridCol w:w="1830"/>
      </w:tblGrid>
      <w:tr>
        <w:trPr>
          <w:tblHeader/>
          <w:cantSplit/>
        </w:trPr>
        <w:tc>
          <w:tcPr>
            <w:tcW w:w="67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序号</w:t>
            </w:r>
          </w:p>
        </w:tc>
        <w:tc>
          <w:tcPr>
            <w:tcW w:w="1446"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功能模块</w:t>
            </w:r>
          </w:p>
        </w:tc>
        <w:tc>
          <w:tcPr>
            <w:tcW w:w="173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子功能模块</w:t>
            </w:r>
          </w:p>
        </w:tc>
        <w:tc>
          <w:tcPr>
            <w:tcW w:w="3952"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建设内容说明</w:t>
            </w:r>
          </w:p>
        </w:tc>
        <w:tc>
          <w:tcPr>
            <w:tcW w:w="1830"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与标书关系</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8</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自然语言指令理解</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指令语音/文本输入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支持打字和语音两种下达方式</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深化（标书"个人工作台—快捷入口"已有NLP意图识别）</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意图识别与要素提取</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从一句话中提取出时间、水域、对象、动作等要素</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歧义澄清追问</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说不清楚时系统反问一句，而不是猜着执行</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转结构化任务单</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把理解结果变成系统可执行的任务单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9</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任务拆解器</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任务模板库</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沉淀常见任务的标准拆法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子任务树生成</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复杂任务自动拆成有层级的子任务</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依赖关系与并行度识别</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判断哪些子任务必须排队做、哪些可以同时做</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拆解结果人工可编辑</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拆得不合适，人工可以直接改</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10</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执行路径规划</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工具与数据源候选匹配</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为每个子任务列出可用的工具和数据来源</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成本与时延评估</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评估每条路径的耗时和资源消耗</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最优路径选择</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选出最快、最省的执行方式</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备选路径预置</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主路径走不通时自动切换备选</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11</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自主决策引擎</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硬规则前置校验</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法定红线用硬规则守住，大模型不得越过</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大模型语义推理</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对规则覆盖不到的复杂情形做语义推理</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规则与模型冲突仲裁</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两者结论不一致时，以规则为准并标记待人工复核</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决策依据留痕</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每个决策都记录下"依据什么、参考了什么"</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12</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置信度评估</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分项置信度打分</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识别、研判、调度各环节分别给出把握度分值</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阈值分级配置</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可配置三档：可自动执行 / 仅给建议 / 必须人工</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低置信自动转人工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低于阈值直接转人工，不自作主张</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阈值效果复盘与调优</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定期回看阈值设置是否合理并调整</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13</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异常处理机制</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失败自动重试</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接口超时、取流失败等自动重试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降级方案</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大模型不可用时自动回落到规则模式，业务不中断</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逐级升级转人工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重试仍失败则逐级升级至值班人员</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异常告警与运维通知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异常情况实时通知运维</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14</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反思与纠错</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执行结果回溯评估</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任务办完后自动回看：判断对不对、派单合不合适</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错误模式归因</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把反复出错的情况归类，找出共性原因</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提示词与规则修正建议</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自动给出优化建议，由技术人员确认后生效</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bl>
    <w:p>
      <w:pPr>
        <w:spacing w:before="0" w:after="60"/>
      </w:pPr>
    </w:p>
    <w:p>
      <w:pPr>
        <w:spacing w:before="60" w:after="60" w:line="300" w:lineRule="auto"/>
      </w:pPr>
      <w:r>
        <w:rPr>
          <w:rFonts w:ascii="Times New Roman" w:hAnsi="Times New Roman" w:eastAsia="宋体"/>
          <w:b/>
          <w:bCs/>
          <w:sz w:val="21"/>
          <w:szCs w:val="21"/>
        </w:rPr>
        <w:t xml:space="preserve">可行性结论：可行。</w:t>
      </w:r>
      <w:r>
        <w:rPr>
          <w:rFonts w:ascii="Times New Roman" w:hAnsi="Times New Roman" w:eastAsia="宋体"/>
          <w:sz w:val="21"/>
          <w:szCs w:val="21"/>
        </w:rPr>
        <w:t xml:space="preserve"> 第11、12项是本模块的"安全阀"，也是最值得领导关注的部分——</w:t>
      </w:r>
      <w:r>
        <w:rPr>
          <w:rFonts w:ascii="Times New Roman" w:hAnsi="Times New Roman" w:eastAsia="宋体"/>
          <w:b/>
          <w:bCs/>
          <w:sz w:val="21"/>
          <w:szCs w:val="21"/>
        </w:rPr>
        <w:t xml:space="preserve">AI的权限边界由硬规则和置信度阈值共同锁死，不是靠模型自觉</w:t>
      </w:r>
      <w:r>
        <w:rPr>
          <w:rFonts w:ascii="Times New Roman" w:hAnsi="Times New Roman" w:eastAsia="宋体"/>
          <w:sz w:val="21"/>
          <w:szCs w:val="21"/>
        </w:rPr>
        <w:t xml:space="preserve">。建议将"红线规则清单"和"三档阈值配置表"作为交付物写入验收要求。</w:t>
      </w:r>
    </w:p>
    <w:p>
      <w:pPr>
        <w:pBdr>
          <w:bottom w:val="single" w:sz="6" w:space="1" w:color="BFBFBF"/>
        </w:pBdr>
        <w:spacing w:before="160" w:after="160"/>
      </w:pPr>
    </w:p>
    <w:p>
      <w:pPr>
        <w:pStyle w:val="Heading3"/>
        <w:spacing w:before="280" w:after="140" w:line="288" w:lineRule="auto"/>
      </w:pPr>
      <w:r>
        <w:rPr>
          <w:rFonts w:ascii="Arial" w:hAnsi="Arial" w:eastAsia="黑体"/>
          <w:b/>
          <w:bCs/>
          <w:sz w:val="25"/>
          <w:szCs w:val="25"/>
        </w:rPr>
        <w:t xml:space="preserve">4.3 模块三：记忆管理系统（8项功能 / 32个子功能模块）</w:t>
      </w:r>
    </w:p>
    <w:p>
      <w:pPr>
        <w:spacing w:before="60" w:after="60" w:line="300" w:lineRule="auto"/>
      </w:pPr>
      <w:r>
        <w:rPr>
          <w:rFonts w:ascii="Times New Roman" w:hAnsi="Times New Roman" w:eastAsia="宋体"/>
          <w:b/>
          <w:bCs/>
          <w:sz w:val="21"/>
          <w:szCs w:val="21"/>
        </w:rPr>
        <w:t xml:space="preserve">这个模块干什么：</w:t>
      </w:r>
      <w:r>
        <w:rPr>
          <w:rFonts w:ascii="Times New Roman" w:hAnsi="Times New Roman" w:eastAsia="宋体"/>
          <w:sz w:val="21"/>
          <w:szCs w:val="21"/>
        </w:rPr>
        <w:t xml:space="preserve"> 给AI装上"记事本+档案柜"。现在每条预警都是"从零开始处理"，系统不知道这条船上个月刚被查过、这个人是三次违规的老面孔。有了记忆，AI就能把孤立的事件串成线索，把"一次处置"变成"持续管控"。</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75"/>
        <w:gridCol w:w="1446"/>
        <w:gridCol w:w="1735"/>
        <w:gridCol w:w="3952"/>
        <w:gridCol w:w="1830"/>
      </w:tblGrid>
      <w:tr>
        <w:trPr>
          <w:tblHeader/>
          <w:cantSplit/>
        </w:trPr>
        <w:tc>
          <w:tcPr>
            <w:tcW w:w="67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序号</w:t>
            </w:r>
          </w:p>
        </w:tc>
        <w:tc>
          <w:tcPr>
            <w:tcW w:w="1446"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功能模块</w:t>
            </w:r>
          </w:p>
        </w:tc>
        <w:tc>
          <w:tcPr>
            <w:tcW w:w="173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子功能模块</w:t>
            </w:r>
          </w:p>
        </w:tc>
        <w:tc>
          <w:tcPr>
            <w:tcW w:w="3952"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建设内容说明</w:t>
            </w:r>
          </w:p>
        </w:tc>
        <w:tc>
          <w:tcPr>
            <w:tcW w:w="1830"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与标书关系</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15</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短期记忆</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多轮会话上下文管理</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记住对话中的前几句，支持追问</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任务临时变量池</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任务执行过程中的中间结果暂存</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待办与挂起事项</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记录尚未完成、等待条件满足的事项</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会话超时清理</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过期会话自动清理，释放资源</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16</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长期记忆-案件库</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案件结构化入库</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案件要素（时间、地点、当事人、情节、结果）结构化存储</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深化（数据源自标书执法办案子系统）</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案卷材料非结构化存储</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笔录、照片、文书等原件存储</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案件向量化索引</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把案件内容转成向量，支持按"相似情节"检索</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相似案件检索</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办新案时自动推送历史相似案件供参考</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17</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长期记忆-执法人员画像</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能力标签体系</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水域熟悉度、专项特长、持证情况打标签</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新增（数据源自标书渔政队伍管理子系统）</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值班与在位状态</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实时掌握谁在岗、在哪个片区</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复用（标书指挥调度子系统）</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历史绩效统计</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出动次数、办结率、平均响应时长等</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画像更新与人工校正</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标签可由管理人员人工校正，避免误标</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18</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长期记忆-违规行为模式</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时空规律挖掘</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分析违法高发的时段、水域、天气条件</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三维热力图</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点位×时段×违法类型的三维热力展示</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作案手法特征库</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沉淀新型手法特征（如隐蔽垂钓、跨区流窜）</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趋势变化预警</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出现新的高发苗头时主动提示</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19</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长期记忆-船舶档案</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一船一档基础信息</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船名、MMSI、船型、船主等</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复用（标书船舶信息库）</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AIS与北斗历史轨迹</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长期轨迹沉淀，支持回溯</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违规记录与停靠习惯</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该船历史违规和常停靠点</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行为指纹与异常比对</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建立该船的常态行为特征，偏离即预警</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20</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长期记忆-重点人员画像</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一人一档</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整合人脸、身份信息、户籍、违捕记录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复用（标书重点人员管理子系统）</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关联船只与关联案件</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打通"人—船—案"三者关系</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活动规律标签</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昼伏夜出、多地频现等规律标签</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深化（标书已有异常活动分析）</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分级管控标记</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按违规频次和情节自动分级</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21</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记忆存取接口</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统一读写API</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各Agent通过统一接口存取记忆，不各自为政</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权限与数据分级管控</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敏感信息按人员权限分级可见</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调用审计</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谁在什么时候查了什么，全程留痕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缓存与性能优化</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高频查询走缓存，保证响应速度</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22</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记忆衰减与遗忘机制</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时效性权重衰减</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越久远的信息在研判中权重越低</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过期数据归档</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超过活跃期的数据转入归档存储</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依法留存与到期清除</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按法定留存期限管理，到期依规清除</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人工置顶与永久保留</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重要档案可人工标记永久保留</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bl>
    <w:p>
      <w:pPr>
        <w:spacing w:before="0" w:after="60"/>
      </w:pPr>
    </w:p>
    <w:p>
      <w:pPr>
        <w:spacing w:before="60" w:after="60" w:line="300" w:lineRule="auto"/>
      </w:pPr>
      <w:r>
        <w:rPr>
          <w:rFonts w:ascii="Times New Roman" w:hAnsi="Times New Roman" w:eastAsia="宋体"/>
          <w:b/>
          <w:bCs/>
          <w:sz w:val="21"/>
          <w:szCs w:val="21"/>
        </w:rPr>
        <w:t xml:space="preserve">可行性结论：可行。</w:t>
      </w:r>
      <w:r>
        <w:rPr>
          <w:rFonts w:ascii="Times New Roman" w:hAnsi="Times New Roman" w:eastAsia="宋体"/>
          <w:sz w:val="21"/>
          <w:szCs w:val="21"/>
        </w:rPr>
        <w:t xml:space="preserve"> 第17至20项的底层数据标书均已建设（重点人员管理、船舶信息库、执法办案、渔政队伍管理），本模块是在其上叠加"画像层+向量检索层"，</w:t>
      </w:r>
      <w:r>
        <w:rPr>
          <w:rFonts w:ascii="Times New Roman" w:hAnsi="Times New Roman" w:eastAsia="宋体"/>
          <w:b/>
          <w:bCs/>
          <w:sz w:val="21"/>
          <w:szCs w:val="21"/>
        </w:rPr>
        <w:t xml:space="preserve">不重复采集数据、不重复建库</w:t>
      </w:r>
      <w:r>
        <w:rPr>
          <w:rFonts w:ascii="Times New Roman" w:hAnsi="Times New Roman" w:eastAsia="宋体"/>
          <w:sz w:val="21"/>
          <w:szCs w:val="21"/>
        </w:rPr>
        <w:t xml:space="preserve">。</w:t>
      </w:r>
    </w:p>
    <w:p>
      <w:pPr>
        <w:spacing w:before="60" w:after="60" w:line="300" w:lineRule="auto"/>
      </w:pPr>
      <w:r>
        <w:rPr>
          <w:rFonts w:ascii="Times New Roman" w:hAnsi="Times New Roman" w:eastAsia="宋体"/>
          <w:b/>
          <w:bCs/>
          <w:sz w:val="21"/>
          <w:szCs w:val="21"/>
        </w:rPr>
        <w:t xml:space="preserve">需注意：</w:t>
      </w:r>
      <w:r>
        <w:rPr>
          <w:rFonts w:ascii="Times New Roman" w:hAnsi="Times New Roman" w:eastAsia="宋体"/>
          <w:sz w:val="21"/>
          <w:szCs w:val="21"/>
        </w:rPr>
        <w:t xml:space="preserve"> 第22项"遗忘机制"涉及个人信息处理和执法档案留存期限，建议在设计阶段由法制部门书面确认留存与清除策略，再进入开发。</w:t>
      </w:r>
    </w:p>
    <w:p>
      <w:pPr>
        <w:pBdr>
          <w:bottom w:val="single" w:sz="6" w:space="1" w:color="BFBFBF"/>
        </w:pBdr>
        <w:spacing w:before="160" w:after="160"/>
      </w:pPr>
    </w:p>
    <w:p>
      <w:pPr>
        <w:pStyle w:val="Heading3"/>
        <w:spacing w:before="280" w:after="140" w:line="288" w:lineRule="auto"/>
      </w:pPr>
      <w:r>
        <w:rPr>
          <w:rFonts w:ascii="Arial" w:hAnsi="Arial" w:eastAsia="黑体"/>
          <w:b/>
          <w:bCs/>
          <w:sz w:val="25"/>
          <w:szCs w:val="25"/>
        </w:rPr>
        <w:t xml:space="preserve">4.4 模块四：知识库与RAG（8项功能 / 32个子功能模块）</w:t>
      </w:r>
    </w:p>
    <w:p>
      <w:pPr>
        <w:spacing w:before="60" w:after="60" w:line="300" w:lineRule="auto"/>
      </w:pPr>
      <w:r>
        <w:rPr>
          <w:rFonts w:ascii="Times New Roman" w:hAnsi="Times New Roman" w:eastAsia="宋体"/>
          <w:b/>
          <w:bCs/>
          <w:sz w:val="21"/>
          <w:szCs w:val="21"/>
        </w:rPr>
        <w:t xml:space="preserve">这个模块干什么：</w:t>
      </w:r>
      <w:r>
        <w:rPr>
          <w:rFonts w:ascii="Times New Roman" w:hAnsi="Times New Roman" w:eastAsia="宋体"/>
          <w:sz w:val="21"/>
          <w:szCs w:val="21"/>
        </w:rPr>
        <w:t xml:space="preserve"> 把法条、案例、裁量基准、执法规程做成AI能查、能引的"电子法律顾问"。关键在于——</w:t>
      </w:r>
      <w:r>
        <w:rPr>
          <w:rFonts w:ascii="Times New Roman" w:hAnsi="Times New Roman" w:eastAsia="宋体"/>
          <w:b/>
          <w:bCs/>
          <w:sz w:val="21"/>
          <w:szCs w:val="21"/>
        </w:rPr>
        <w:t xml:space="preserve">AI下结论必须先检索、必须引用查到的原文，检索不到就明确说"无依据"，绝不允许自己编法条</w:t>
      </w:r>
      <w:r>
        <w:rPr>
          <w:rFonts w:ascii="Times New Roman" w:hAnsi="Times New Roman" w:eastAsia="宋体"/>
          <w:sz w:val="21"/>
          <w:szCs w:val="21"/>
        </w:rPr>
        <w:t xml:space="preserve">。这是AI能不能进执法环节的底线。</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75"/>
        <w:gridCol w:w="1446"/>
        <w:gridCol w:w="1735"/>
        <w:gridCol w:w="3952"/>
        <w:gridCol w:w="1830"/>
      </w:tblGrid>
      <w:tr>
        <w:trPr>
          <w:tblHeader/>
          <w:cantSplit/>
        </w:trPr>
        <w:tc>
          <w:tcPr>
            <w:tcW w:w="67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序号</w:t>
            </w:r>
          </w:p>
        </w:tc>
        <w:tc>
          <w:tcPr>
            <w:tcW w:w="1446"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功能模块</w:t>
            </w:r>
          </w:p>
        </w:tc>
        <w:tc>
          <w:tcPr>
            <w:tcW w:w="173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子功能模块</w:t>
            </w:r>
          </w:p>
        </w:tc>
        <w:tc>
          <w:tcPr>
            <w:tcW w:w="3952"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建设内容说明</w:t>
            </w:r>
          </w:p>
        </w:tc>
        <w:tc>
          <w:tcPr>
            <w:tcW w:w="1830"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与标书关系</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23</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法规知识库</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法律法规条文入库</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长江保护法、渔业法、地方条例、禁捕通告等全文入库</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条款级切分与编号</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按条、款、项切分，检索可精确到具体条款</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时效状态标记</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标注现行有效、已失效、已修订</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条文关联索引</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上位法与下位法、原文与修订文的关联</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24</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案例知识库</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裁判文书入库</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涉渔案件裁判文书收集入库</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行政处罚决定书入库</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本省已办结案件决定书入库</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本省典型案例标注</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标注具有指导意义的典型案例</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案例要素结构化</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拆出情节、证据、适用条款、处罚结果四要素</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25</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裁量基准知识库</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违法行为分类目录</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建立标准化的违法行为分类</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情节要素到处罚幅度映射</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把"情节"量化对应到"罚多少"的区间</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从轻从重情形规则</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明确从轻、减轻、从重的具体情形</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基准版本管理</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裁量基准更新后保留历史版本可追溯</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26</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执法规程知识库</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执法流程SOP</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各类案件的标准办案流程</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取证规范与证据清单</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每类案件必须取哪些证据</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文书模板与填写要求</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各类文书模板及填写规范</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常见问题问答</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一线高频问题的标准答复</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27</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向量化索引服务</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文本切分策略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按语义合理切分，保证检索粒度</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国产化向量模型部署</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选用国产嵌入模型，满足信创要求</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向量库建设与增量更新</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建库并支持增量更新，不必全量重建</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索引质量评测</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定期评测召回效果并优化</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28</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混合检索引擎</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向量语义检索</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按意思相近来检索，而不只是关键词匹配</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关键词精确检索</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条款号、案号等精确匹配</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知识图谱关联扩展</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沿"人—船—案—法条"关系扩展检索</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结果重排序与召回评估</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对检索结果重新排序，把最相关的排前面</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29</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RAG生成增强</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检索结果注入上下文</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把查到的原文喂给大模型再生成结论</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强制引用与原文溯源</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结论中每一条依据都可点击跳转到法条原文</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无依据不作答护栏</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检索不到依据时明确输出"无匹配依据，转人工"，禁止编造</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回答置信度标注</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每条结论标注置信度供人工判断</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30</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知识自动更新</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法规变更监测与导入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法规修订后可快速导入更新</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增量索引重建</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只重建变动部分的索引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失效条文自动下线</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失效条文自动停止被引用</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更新日志与影响面提示</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提示本次更新会影响哪些历史结论</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bl>
    <w:p>
      <w:pPr>
        <w:spacing w:before="0" w:after="60"/>
      </w:pPr>
    </w:p>
    <w:p>
      <w:pPr>
        <w:spacing w:before="60" w:after="60" w:line="300" w:lineRule="auto"/>
      </w:pPr>
      <w:r>
        <w:rPr>
          <w:rFonts w:ascii="Times New Roman" w:hAnsi="Times New Roman" w:eastAsia="宋体"/>
          <w:b/>
          <w:bCs/>
          <w:sz w:val="21"/>
          <w:szCs w:val="21"/>
        </w:rPr>
        <w:t xml:space="preserve">可行性结论：可行，且技术成熟度最高。</w:t>
      </w:r>
      <w:r>
        <w:rPr>
          <w:rFonts w:ascii="Times New Roman" w:hAnsi="Times New Roman" w:eastAsia="宋体"/>
          <w:sz w:val="21"/>
          <w:szCs w:val="21"/>
        </w:rPr>
        <w:t xml:space="preserve"> RAG是当前政务领域落地最扎实的方向。</w:t>
      </w:r>
    </w:p>
    <w:p>
      <w:pPr>
        <w:spacing w:before="60" w:after="60" w:line="300" w:lineRule="auto"/>
      </w:pPr>
      <w:r>
        <w:rPr>
          <w:rFonts w:ascii="Times New Roman" w:hAnsi="Times New Roman" w:eastAsia="宋体"/>
          <w:b/>
          <w:bCs/>
          <w:sz w:val="21"/>
          <w:szCs w:val="21"/>
        </w:rPr>
        <w:t xml:space="preserve">必须写入验收指标的两条：</w:t>
      </w:r>
      <w:r>
        <w:rPr>
          <w:rFonts w:ascii="Times New Roman" w:hAnsi="Times New Roman" w:eastAsia="宋体"/>
          <w:sz w:val="21"/>
          <w:szCs w:val="21"/>
        </w:rPr>
        <w:t xml:space="preserve"> ① 法条引用准确率100%（引用的条文必须真实存在且与原文一致）；② 未检索到依据时不得输出结论。</w:t>
      </w:r>
    </w:p>
    <w:p>
      <w:pPr>
        <w:spacing w:before="60" w:after="60" w:line="300" w:lineRule="auto"/>
      </w:pPr>
      <w:r>
        <w:rPr>
          <w:rFonts w:ascii="Times New Roman" w:hAnsi="Times New Roman" w:eastAsia="宋体"/>
          <w:b/>
          <w:bCs/>
          <w:sz w:val="21"/>
          <w:szCs w:val="21"/>
        </w:rPr>
        <w:t xml:space="preserve">前置条件：</w:t>
      </w:r>
      <w:r>
        <w:rPr>
          <w:rFonts w:ascii="Times New Roman" w:hAnsi="Times New Roman" w:eastAsia="宋体"/>
          <w:sz w:val="21"/>
          <w:szCs w:val="21"/>
        </w:rPr>
        <w:t xml:space="preserve"> 需采购人提供权威的法规、裁量基准电子文本；知识库内容的准确性由法制部门确认，AI不承担法律责任。</w:t>
      </w:r>
    </w:p>
    <w:p>
      <w:pPr>
        <w:pBdr>
          <w:bottom w:val="single" w:sz="6" w:space="1" w:color="BFBFBF"/>
        </w:pBdr>
        <w:spacing w:before="160" w:after="160"/>
      </w:pPr>
    </w:p>
    <w:p>
      <w:pPr>
        <w:pStyle w:val="Heading3"/>
        <w:spacing w:before="280" w:after="140" w:line="288" w:lineRule="auto"/>
      </w:pPr>
      <w:r>
        <w:rPr>
          <w:rFonts w:ascii="Arial" w:hAnsi="Arial" w:eastAsia="黑体"/>
          <w:b/>
          <w:bCs/>
          <w:sz w:val="25"/>
          <w:szCs w:val="25"/>
        </w:rPr>
        <w:t xml:space="preserve">4.5 模块五：工具调用与执行（7项功能 / 29个子功能模块）</w:t>
      </w:r>
    </w:p>
    <w:p>
      <w:pPr>
        <w:spacing w:before="60" w:after="60" w:line="300" w:lineRule="auto"/>
      </w:pPr>
      <w:r>
        <w:rPr>
          <w:rFonts w:ascii="Times New Roman" w:hAnsi="Times New Roman" w:eastAsia="宋体"/>
          <w:b/>
          <w:bCs/>
          <w:sz w:val="21"/>
          <w:szCs w:val="21"/>
        </w:rPr>
        <w:t xml:space="preserve">这个模块干什么：</w:t>
      </w:r>
      <w:r>
        <w:rPr>
          <w:rFonts w:ascii="Times New Roman" w:hAnsi="Times New Roman" w:eastAsia="宋体"/>
          <w:sz w:val="21"/>
          <w:szCs w:val="21"/>
        </w:rPr>
        <w:t xml:space="preserve"> 让AI从"只会说"变成"能动手"——能自己转云台去看清楚、能查船舶档案、能发工单、能起草文书。同时每一次动手都留痕、可回溯，高风险动作（比如无人机起飞）必须人工点头才能执行。</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75"/>
        <w:gridCol w:w="1446"/>
        <w:gridCol w:w="1735"/>
        <w:gridCol w:w="3952"/>
        <w:gridCol w:w="1830"/>
      </w:tblGrid>
      <w:tr>
        <w:trPr>
          <w:tblHeader/>
          <w:cantSplit/>
        </w:trPr>
        <w:tc>
          <w:tcPr>
            <w:tcW w:w="67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序号</w:t>
            </w:r>
          </w:p>
        </w:tc>
        <w:tc>
          <w:tcPr>
            <w:tcW w:w="1446"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功能模块</w:t>
            </w:r>
          </w:p>
        </w:tc>
        <w:tc>
          <w:tcPr>
            <w:tcW w:w="173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子功能模块</w:t>
            </w:r>
          </w:p>
        </w:tc>
        <w:tc>
          <w:tcPr>
            <w:tcW w:w="3952"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建设内容说明</w:t>
            </w:r>
          </w:p>
        </w:tc>
        <w:tc>
          <w:tcPr>
            <w:tcW w:w="1830"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与标书关系</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31</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工具定义规范</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工具描述元数据</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统一定义每个工具的名称、入参、出参、所需权限、风险等级</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工具注册与上下架</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新工具可注册接入，废弃工具可下架</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版本与兼容管理</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接口升级时保证旧调用不中断</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工具测试沙箱</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新工具先在沙箱中验证，再放到生产环境</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32</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感知类工具集</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云台控制</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AI可控制转向、变倍、调用预置点</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深化（复用标书云台控制能力）</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雷达目标查询与引导</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查询雷达目标并引导光电跟踪</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复用（标书雷达已支持引导光电）</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无人机起飞与航线控制</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调用无人机前往指定点位取证</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深化（标书已有无人机联动）</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抓图与紧急录像</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按需抓图、截取告警前后录像</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33</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数据类工具集</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船舶档案查询</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按船名/MMSI查询船舶档案</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重点人员查询</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查询重点人员基本信息与布控状态</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历史案件查询</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查询相似或关联历史案件</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法规条文查询</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调用知识库检索法条</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执法力量与值班查询</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查询在岗人员、执法艇位置与状态</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34</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执行类工具集</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工单生成与下发</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生成任务工单并下发至移动端</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深化（复用标书事件中心与工单能力）</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文书要素生成</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自动生成文书草稿供人工修改确认</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语音、短信、消息通知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按配置渠道通知相关人员</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复用（标书预警联动配置已有）</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事件状态更新与归档</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处置完成后回写事件状态并归档</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35</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自动工具选择</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工具语义匹配</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根据任务需要自动选出该用哪些工具</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调用顺序编排</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自动安排工具调用的先后顺序</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参数自动填充与校验</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自动填参并校验合法性，防止误操作</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调用结果解析与再决策</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拿到结果后判断下一步怎么走</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36</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工具调用安全审计</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全量调用日志</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每次调用的时间、发起方、参数、结果全记录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高风险动作二次确认</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无人机起飞、对外通知、正式文书出具等必须人工确认</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权限与配额控制</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按角色限定可调用的工具和调用次数</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异常调用告警与追溯</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异常调用实时告警并可追溯到具体决策链</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37</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跨系统工具代理</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统一工具网关</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所有外部系统能力统一封装为标准工具</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接口协议适配</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适配苏农云服务总线、省海洋渔业安全监管系统等</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深化（复用标书系统对接成果）</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鉴权与令牌管理</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统一管理各系统的访问凭证</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限流熔断与降级</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外部系统故障时自动熔断，不拖垮本系统</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bl>
    <w:p>
      <w:pPr>
        <w:spacing w:before="0" w:after="60"/>
      </w:pPr>
    </w:p>
    <w:p>
      <w:pPr>
        <w:spacing w:before="60" w:after="60" w:line="300" w:lineRule="auto"/>
      </w:pPr>
      <w:r>
        <w:rPr>
          <w:rFonts w:ascii="Times New Roman" w:hAnsi="Times New Roman" w:eastAsia="宋体"/>
          <w:b/>
          <w:bCs/>
          <w:sz w:val="21"/>
          <w:szCs w:val="21"/>
        </w:rPr>
        <w:t xml:space="preserve">可行性结论：可行，但这是全部10个模块中对外部依赖最重的一项。</w:t>
      </w:r>
    </w:p>
    <w:p>
      <w:pPr>
        <w:spacing w:before="60" w:after="60" w:line="300" w:lineRule="auto"/>
      </w:pPr>
      <w:r>
        <w:rPr>
          <w:rFonts w:ascii="Times New Roman" w:hAnsi="Times New Roman" w:eastAsia="宋体"/>
          <w:b/>
          <w:bCs/>
          <w:sz w:val="21"/>
          <w:szCs w:val="21"/>
        </w:rPr>
        <w:t xml:space="preserve">关键前置条件（建议写入实施计划）：</w:t>
      </w:r>
      <w:r>
        <w:rPr>
          <w:rFonts w:ascii="Times New Roman" w:hAnsi="Times New Roman" w:eastAsia="宋体"/>
          <w:sz w:val="21"/>
          <w:szCs w:val="21"/>
        </w:rPr>
        <w:t xml:space="preserve"> 由采购人牵头明确一份《接口开放清单》，逐项约定云台控制、无人机调度、工单下发、船舶与人员数据查询等接口的开放范围、协议与开放时间。接口不到位，本模块无法单独完成。</w:t>
      </w:r>
    </w:p>
    <w:p>
      <w:pPr>
        <w:spacing w:before="60" w:after="60" w:line="300" w:lineRule="auto"/>
      </w:pPr>
      <w:r>
        <w:rPr>
          <w:rFonts w:ascii="Times New Roman" w:hAnsi="Times New Roman" w:eastAsia="宋体"/>
          <w:b/>
          <w:bCs/>
          <w:sz w:val="21"/>
          <w:szCs w:val="21"/>
        </w:rPr>
        <w:t xml:space="preserve">安全边界建议：</w:t>
      </w:r>
      <w:r>
        <w:rPr>
          <w:rFonts w:ascii="Times New Roman" w:hAnsi="Times New Roman" w:eastAsia="宋体"/>
          <w:sz w:val="21"/>
          <w:szCs w:val="21"/>
        </w:rPr>
        <w:t xml:space="preserve"> 在方案中明确列出"AI可自动执行"与"必须人工确认"两张动作清单，无人机起飞、对外通知、正式文书出具一律列入人工确认清单。</w:t>
      </w:r>
    </w:p>
    <w:p>
      <w:pPr>
        <w:pBdr>
          <w:bottom w:val="single" w:sz="6" w:space="1" w:color="BFBFBF"/>
        </w:pBdr>
        <w:spacing w:before="160" w:after="160"/>
      </w:pPr>
    </w:p>
    <w:p>
      <w:pPr>
        <w:pStyle w:val="Heading3"/>
        <w:spacing w:before="280" w:after="140" w:line="288" w:lineRule="auto"/>
      </w:pPr>
      <w:r>
        <w:rPr>
          <w:rFonts w:ascii="Arial" w:hAnsi="Arial" w:eastAsia="黑体"/>
          <w:b/>
          <w:bCs/>
          <w:sz w:val="25"/>
          <w:szCs w:val="25"/>
        </w:rPr>
        <w:t xml:space="preserve">4.6 模块六：视频智能识别与模型能力（7项功能 / 30个子功能模块）</w:t>
      </w:r>
    </w:p>
    <w:p>
      <w:pPr>
        <w:spacing w:before="60" w:after="60" w:line="300" w:lineRule="auto"/>
      </w:pPr>
      <w:r>
        <w:rPr>
          <w:rFonts w:ascii="Times New Roman" w:hAnsi="Times New Roman" w:eastAsia="宋体"/>
          <w:b/>
          <w:bCs/>
          <w:sz w:val="21"/>
          <w:szCs w:val="21"/>
        </w:rPr>
        <w:t xml:space="preserve">这个模块干什么：</w:t>
      </w:r>
      <w:r>
        <w:rPr>
          <w:rFonts w:ascii="Times New Roman" w:hAnsi="Times New Roman" w:eastAsia="宋体"/>
          <w:sz w:val="21"/>
          <w:szCs w:val="21"/>
        </w:rPr>
        <w:t xml:space="preserve"> 标书已经能"看见岸边有个人"，这个模块让系统"看懂他在干什么"——是散步路过还是正在钓鱼，是一个人还是一伙人，是白天还是夜里，是不是上个月刚劝离过的老面孔。</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75"/>
        <w:gridCol w:w="1446"/>
        <w:gridCol w:w="1735"/>
        <w:gridCol w:w="3952"/>
        <w:gridCol w:w="1830"/>
      </w:tblGrid>
      <w:tr>
        <w:trPr>
          <w:tblHeader/>
          <w:cantSplit/>
        </w:trPr>
        <w:tc>
          <w:tcPr>
            <w:tcW w:w="67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序号</w:t>
            </w:r>
          </w:p>
        </w:tc>
        <w:tc>
          <w:tcPr>
            <w:tcW w:w="1446"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功能模块</w:t>
            </w:r>
          </w:p>
        </w:tc>
        <w:tc>
          <w:tcPr>
            <w:tcW w:w="173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子功能模块</w:t>
            </w:r>
          </w:p>
        </w:tc>
        <w:tc>
          <w:tcPr>
            <w:tcW w:w="3952"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建设内容说明</w:t>
            </w:r>
          </w:p>
        </w:tc>
        <w:tc>
          <w:tcPr>
            <w:tcW w:w="1830"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与标书关系</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38</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单人垂钓动作识别</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持竿动作识别</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识别手持钓竿的姿态</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抛竿动作识别</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识别抛投瞬间动作</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收线与遛鱼动作识别</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识别收线、起鱼等连续动作</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静态守钓姿态识别</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坐姿＋钓具＋滞留时长的组合判定</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复用（标书已有坐姿+遮阳伞+竿+桶+时长规则）</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误报抑制</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区分散步、拍照、观景等非违法行为</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39</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多人聚集识别</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人数统计与阈值告警</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统计区域内人数并按阈值告警</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聚集垂钓判定</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3人以上同时垂钓的判定</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定点蹲守时长判定</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长时间固定位置停留的判定</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聚集态势升级提示</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人数持续增加时自动升级事件等级</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40</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夜间垂钓识别</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低照度图像增强</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弱光条件下的图像增强预处理</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热成像通道行为识别</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直接在热成像画面上做行为识别</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新增（硬件已配640×512热成像）</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灯光与头灯特征识别</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通过夜钓灯、头灯等特征辅助判定</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昼夜模型自动切换</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按光照条件自动切换识别模型</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41</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渔具携带预判及违法捕捞识别</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渔具携带识别</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识别钓竿、渔具桶、渔网、抄网等</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携具进入禁区预判告警</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携带渔具靠近或进入禁区即预警，早于实际下竿</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违法捕捞动作识别</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识别撒网、收网、电鱼等作业动作</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捕捞地点与电子围栏关系判定</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判断作业位置是否落在禁捕围栏内</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复用（标书电子围栏能力）</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行为状态细化识别</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区分准备、进行中、收尾撤离三个阶段</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42</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重复与顽固人员标记</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人脸与人体特征比对</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与重点人员库实时比对</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复用（标书人脸识别与图片比对能力）</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重复出现次数累计</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自动累计同一人的出现次数</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顽固人员自动标记与分级</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达到阈值自动标记并分级管控</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行为模式库沉淀</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沉淀该人的活动时段、常去点位等规律</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43</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跨点位轨迹追踪</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跨摄像机目标重识别</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同一目标在不同摄像机间的关联识别</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多点位目标归并</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把分散在各点位的记录归并为同一目标</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时空轨迹串联</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串成一条完整的活动轨迹</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团伙关联线索发现</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发现多人同进同出等团伙特征</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44</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模型服务化部署</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模型打包与推理服务发布</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训练完成的模型打包上线</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复用（标书NVR支持视觉大模型与第三方算法插件导入）</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阈值与灵敏度按点位配置</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每个点位可单独调整识别阈值</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复用（标书NVR已支持）</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告警证据包输出</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输出图片＋短视频＋结构化结论的完整证据包</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模型版本切换与回滚</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新模型效果不佳可一键回退</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复用（标书算法仓库已有版本管理）</w:t>
            </w:r>
          </w:p>
        </w:tc>
      </w:tr>
    </w:tbl>
    <w:p>
      <w:pPr>
        <w:spacing w:before="0" w:after="60"/>
      </w:pPr>
    </w:p>
    <w:p>
      <w:pPr>
        <w:spacing w:before="60" w:after="60" w:line="300" w:lineRule="auto"/>
      </w:pPr>
      <w:r>
        <w:rPr>
          <w:rFonts w:ascii="Times New Roman" w:hAnsi="Times New Roman" w:eastAsia="宋体"/>
          <w:b/>
          <w:bCs/>
          <w:sz w:val="21"/>
          <w:szCs w:val="21"/>
        </w:rPr>
        <w:t xml:space="preserve">可行性结论：可行，但精度受样本数量与点位成像条件制约，这是唯一需要向领导明确"分阶段达标"的模块。</w:t>
      </w:r>
    </w:p>
    <w:p>
      <w:pPr>
        <w:spacing w:before="60" w:after="60" w:line="300" w:lineRule="auto"/>
      </w:pPr>
      <w:r>
        <w:rPr>
          <w:rFonts w:ascii="Times New Roman" w:hAnsi="Times New Roman" w:eastAsia="宋体"/>
          <w:b/>
          <w:bCs/>
          <w:sz w:val="21"/>
          <w:szCs w:val="21"/>
        </w:rPr>
        <w:t xml:space="preserve">三点必须向领导讲清楚：</w:t>
      </w:r>
    </w:p>
    <w:p>
      <w:pPr>
        <w:spacing w:before="60" w:after="60" w:line="300" w:lineRule="auto"/>
        <w:ind w:firstLine="0" w:left="360"/>
      </w:pPr>
      <w:r>
        <w:rPr>
          <w:rFonts w:ascii="Times New Roman" w:hAnsi="Times New Roman" w:eastAsia="宋体"/>
          <w:sz w:val="21"/>
          <w:szCs w:val="21"/>
        </w:rPr>
        <w:t xml:space="preserve">1. </w:t>
      </w:r>
      <w:r>
        <w:rPr>
          <w:rFonts w:ascii="Times New Roman" w:hAnsi="Times New Roman" w:eastAsia="宋体"/>
          <w:b/>
          <w:bCs/>
          <w:sz w:val="21"/>
          <w:szCs w:val="21"/>
        </w:rPr>
        <w:t xml:space="preserve">不需要新买算力硬件。</w:t>
      </w:r>
      <w:r>
        <w:rPr>
          <w:rFonts w:ascii="Times New Roman" w:hAnsi="Times New Roman" w:eastAsia="宋体"/>
          <w:sz w:val="21"/>
          <w:szCs w:val="21"/>
        </w:rPr>
        <w:t xml:space="preserve"> 标书已配32台内置GPU的网络硬盘录像机，明确支持视觉大模型导入和第三方算法插件导入；32台双光谱重载云台带640×512热成像和≥3km激光补光，夜间识别的硬件条件已具备。</w:t>
      </w:r>
    </w:p>
    <w:p>
      <w:pPr>
        <w:spacing w:before="60" w:after="60" w:line="300" w:lineRule="auto"/>
        <w:ind w:firstLine="0" w:left="360"/>
      </w:pPr>
      <w:r>
        <w:rPr>
          <w:rFonts w:ascii="Times New Roman" w:hAnsi="Times New Roman" w:eastAsia="宋体"/>
          <w:sz w:val="21"/>
          <w:szCs w:val="21"/>
        </w:rPr>
        <w:t xml:space="preserve">2. </w:t>
      </w:r>
      <w:r>
        <w:rPr>
          <w:rFonts w:ascii="Times New Roman" w:hAnsi="Times New Roman" w:eastAsia="宋体"/>
          <w:b/>
          <w:bCs/>
          <w:sz w:val="21"/>
          <w:szCs w:val="21"/>
        </w:rPr>
        <w:t xml:space="preserve">与标书的算法不重复。</w:t>
      </w:r>
      <w:r>
        <w:rPr>
          <w:rFonts w:ascii="Times New Roman" w:hAnsi="Times New Roman" w:eastAsia="宋体"/>
          <w:sz w:val="21"/>
          <w:szCs w:val="21"/>
        </w:rPr>
        <w:t xml:space="preserve"> 标书"AI中台—算法场景适配服务"已含人员捕捞钓鱼、渔船捕鱼、船舶非法入侵、船只种类4类算法，其判定逻辑是"坐姿＋遮阳伞＋钓竿＋渔具桶＋滞留30分钟"这类</w:t>
      </w:r>
      <w:r>
        <w:rPr>
          <w:rFonts w:ascii="Times New Roman" w:hAnsi="Times New Roman" w:eastAsia="宋体"/>
          <w:b/>
          <w:bCs/>
          <w:sz w:val="21"/>
          <w:szCs w:val="21"/>
        </w:rPr>
        <w:t xml:space="preserve">组合规则级</w:t>
      </w:r>
      <w:r>
        <w:rPr>
          <w:rFonts w:ascii="Times New Roman" w:hAnsi="Times New Roman" w:eastAsia="宋体"/>
          <w:sz w:val="21"/>
          <w:szCs w:val="21"/>
        </w:rPr>
        <w:t xml:space="preserve">识别；本模块新增的是</w:t>
      </w:r>
      <w:r>
        <w:rPr>
          <w:rFonts w:ascii="Times New Roman" w:hAnsi="Times New Roman" w:eastAsia="宋体"/>
          <w:b/>
          <w:bCs/>
          <w:sz w:val="21"/>
          <w:szCs w:val="21"/>
        </w:rPr>
        <w:t xml:space="preserve">动作级、夜间、多人、跨点位、状态细化</w:t>
      </w:r>
      <w:r>
        <w:rPr>
          <w:rFonts w:ascii="Times New Roman" w:hAnsi="Times New Roman" w:eastAsia="宋体"/>
          <w:sz w:val="21"/>
          <w:szCs w:val="21"/>
        </w:rPr>
        <w:t xml:space="preserve">能力。建议在合同与方案中统一表述为"在已建算法基础上的精度与场景增强"。</w:t>
      </w:r>
    </w:p>
    <w:p>
      <w:pPr>
        <w:spacing w:before="60" w:after="60" w:line="300" w:lineRule="auto"/>
        <w:ind w:firstLine="0" w:left="360"/>
      </w:pPr>
      <w:r>
        <w:rPr>
          <w:rFonts w:ascii="Times New Roman" w:hAnsi="Times New Roman" w:eastAsia="宋体"/>
          <w:sz w:val="21"/>
          <w:szCs w:val="21"/>
        </w:rPr>
        <w:t xml:space="preserve">3. </w:t>
      </w:r>
      <w:r>
        <w:rPr>
          <w:rFonts w:ascii="Times New Roman" w:hAnsi="Times New Roman" w:eastAsia="宋体"/>
          <w:b/>
          <w:bCs/>
          <w:sz w:val="21"/>
          <w:szCs w:val="21"/>
        </w:rPr>
        <w:t xml:space="preserve">验收指标建议分阶段设定。</w:t>
      </w:r>
      <w:r>
        <w:rPr>
          <w:rFonts w:ascii="Times New Roman" w:hAnsi="Times New Roman" w:eastAsia="宋体"/>
          <w:sz w:val="21"/>
          <w:szCs w:val="21"/>
        </w:rPr>
        <w:t xml:space="preserve"> 冷启动阶段样本稀缺是客观事实，建议约定：试运行期主要场景查准率≥85%，运行6个月（经处置结果回流训练后）≥90%，而不是一上来就承诺一个高指标。</w:t>
      </w:r>
    </w:p>
    <w:p>
      <w:pPr>
        <w:spacing w:before="60" w:after="60" w:line="300" w:lineRule="auto"/>
      </w:pPr>
      <w:r>
        <w:rPr>
          <w:rFonts w:ascii="Times New Roman" w:hAnsi="Times New Roman" w:eastAsia="宋体"/>
          <w:b/>
          <w:bCs/>
          <w:sz w:val="21"/>
          <w:szCs w:val="21"/>
        </w:rPr>
        <w:t xml:space="preserve">前置条件：</w:t>
      </w:r>
      <w:r>
        <w:rPr>
          <w:rFonts w:ascii="Times New Roman" w:hAnsi="Times New Roman" w:eastAsia="宋体"/>
          <w:sz w:val="21"/>
          <w:szCs w:val="21"/>
        </w:rPr>
        <w:t xml:space="preserve"> 先行盘点各点位夜间成像条件（补光/红外覆盖情况），对不满足的点位补充补光设备或调整识别策略；同时明确冷启动样本的来源与标注责任方。</w:t>
      </w:r>
    </w:p>
    <w:p>
      <w:pPr>
        <w:pBdr>
          <w:bottom w:val="single" w:sz="6" w:space="1" w:color="BFBFBF"/>
        </w:pBdr>
        <w:spacing w:before="160" w:after="160"/>
      </w:pPr>
    </w:p>
    <w:p>
      <w:pPr>
        <w:pStyle w:val="Heading3"/>
        <w:spacing w:before="280" w:after="140" w:line="288" w:lineRule="auto"/>
      </w:pPr>
      <w:r>
        <w:rPr>
          <w:rFonts w:ascii="Arial" w:hAnsi="Arial" w:eastAsia="黑体"/>
          <w:b/>
          <w:bCs/>
          <w:sz w:val="25"/>
          <w:szCs w:val="25"/>
        </w:rPr>
        <w:t xml:space="preserve">4.7 模块七：执法调度与派单（6项功能 / 25个子功能模块）</w:t>
      </w:r>
    </w:p>
    <w:p>
      <w:pPr>
        <w:spacing w:before="60" w:after="60" w:line="300" w:lineRule="auto"/>
      </w:pPr>
      <w:r>
        <w:rPr>
          <w:rFonts w:ascii="Times New Roman" w:hAnsi="Times New Roman" w:eastAsia="宋体"/>
          <w:b/>
          <w:bCs/>
          <w:sz w:val="21"/>
          <w:szCs w:val="21"/>
        </w:rPr>
        <w:t xml:space="preserve">这个模块干什么：</w:t>
      </w:r>
      <w:r>
        <w:rPr>
          <w:rFonts w:ascii="Times New Roman" w:hAnsi="Times New Roman" w:eastAsia="宋体"/>
          <w:sz w:val="21"/>
          <w:szCs w:val="21"/>
        </w:rPr>
        <w:t xml:space="preserve"> 告警来了，系统自己判断真假和轻重，自己找最近的人和艇，自己派单，自己盯签收，处置完的结果再自动回流去训练模型。这是把"AI看到的"变成"人真正出动了"的关键一环。</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75"/>
        <w:gridCol w:w="1446"/>
        <w:gridCol w:w="1735"/>
        <w:gridCol w:w="3952"/>
        <w:gridCol w:w="1830"/>
      </w:tblGrid>
      <w:tr>
        <w:trPr>
          <w:tblHeader/>
          <w:cantSplit/>
        </w:trPr>
        <w:tc>
          <w:tcPr>
            <w:tcW w:w="67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序号</w:t>
            </w:r>
          </w:p>
        </w:tc>
        <w:tc>
          <w:tcPr>
            <w:tcW w:w="1446"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功能模块</w:t>
            </w:r>
          </w:p>
        </w:tc>
        <w:tc>
          <w:tcPr>
            <w:tcW w:w="173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子功能模块</w:t>
            </w:r>
          </w:p>
        </w:tc>
        <w:tc>
          <w:tcPr>
            <w:tcW w:w="3952"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建设内容说明</w:t>
            </w:r>
          </w:p>
        </w:tc>
        <w:tc>
          <w:tcPr>
            <w:tcW w:w="1830"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与标书关系</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45</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边缘层告警接入</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告警ID与元数据接入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接收前端设备上报的告警标识与基本信息</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证据截图与短视频接入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同步接收证据材料</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点位与经纬度信息接入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接收告警发生的精确位置</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复用（标书已有定位信息提取）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诊断报告接入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接收边缘侧的初步诊断结论</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接入状态监测与补传</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监测接入链路，中断后自动补传</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46</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告警信息智能处理</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重复与连续告警合并</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同一目标的连续告警自动合并</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深化（标书已有合并上报配置）</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误报过滤（规则＋模型双层）</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规则先过一遍，模型再判一遍</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深化（标书已有预警初步过滤）</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违法等级判定</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自动判定事件等级，替代人工初判</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深化（标书为人工研判）</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处置规则匹配与流程选择</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按等级和类型自动选择处置流程</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复用（标书预警处置配置）</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47</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就近匹配</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执法力量实时位置获取</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从北斗、单兵、甚高频获取实时位置</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复用（标书多元联合感知平台）</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水域可达性与距离计算</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按航道可达性算真实距离，而非直线距离</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装备与资质匹配</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匹配所需装备和执法资质</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推荐排序与人工改派</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给出推荐排序，指挥人员可一键改派</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48</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自动派单</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任务单自动生成</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自动生成含事实、证据、建议的任务单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深化（标书为人工创建）</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智能派单下发</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直接派给推荐的执法力量</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签收计时与超时提醒</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计时并在超时前提醒</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复用（标书任务签收已有）</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未签收自动改派或升级</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超时未签收自动改派或上报</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49</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移动终端联动</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移动端任务接收与状态同步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移动端接单并实时同步状态</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复用（标书移动端已建，基于苏农云移动基座）</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现场取证回传</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现场照片、视频、文字回传</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处置结果回填与事件归档</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处置结论回填并自动归档</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省—湖区—执勤点多级联动</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三级之间的任务流转与信息同步</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50</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智能处理能力迭代</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处置结果自动回流</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正报/误报结论自动回流为训练数据</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新增（标书完全没有）</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样本自动标注与人工复核</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自动生成标注，人工抽检复核</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增量训练与效果评估</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定期增量训练并评估效果</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灰度上线与效果对比</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新模型先小范围试跑，对比效果后全量</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bl>
    <w:p>
      <w:pPr>
        <w:spacing w:before="0" w:after="60"/>
      </w:pPr>
    </w:p>
    <w:p>
      <w:pPr>
        <w:spacing w:before="60" w:after="60" w:line="300" w:lineRule="auto"/>
      </w:pPr>
      <w:r>
        <w:rPr>
          <w:rFonts w:ascii="Times New Roman" w:hAnsi="Times New Roman" w:eastAsia="宋体"/>
          <w:b/>
          <w:bCs/>
          <w:sz w:val="21"/>
          <w:szCs w:val="21"/>
        </w:rPr>
        <w:t xml:space="preserve">可行性结论：可行，但本模块是评审中最容易被质疑"重复建设"的一项，必须逐条标注边界。</w:t>
      </w:r>
    </w:p>
    <w:p>
      <w:pPr>
        <w:spacing w:before="60" w:after="60" w:line="300" w:lineRule="auto"/>
      </w:pPr>
      <w:r>
        <w:rPr>
          <w:rFonts w:ascii="Times New Roman" w:hAnsi="Times New Roman" w:eastAsia="宋体"/>
          <w:sz w:val="21"/>
          <w:szCs w:val="21"/>
        </w:rPr>
        <w:t xml:space="preserve">标书的"智能预警子系统—预警闭环处理""巡查执勤处置子系统""业务能力中心—事件中心"已经建成了"预警→研判→签收→处置→审核"的</w:t>
      </w:r>
      <w:r>
        <w:rPr>
          <w:rFonts w:ascii="Times New Roman" w:hAnsi="Times New Roman" w:eastAsia="宋体"/>
          <w:b/>
          <w:bCs/>
          <w:sz w:val="21"/>
          <w:szCs w:val="21"/>
        </w:rPr>
        <w:t xml:space="preserve">流程壳和人工派单能力</w:t>
      </w:r>
      <w:r>
        <w:rPr>
          <w:rFonts w:ascii="Times New Roman" w:hAnsi="Times New Roman" w:eastAsia="宋体"/>
          <w:sz w:val="21"/>
          <w:szCs w:val="21"/>
        </w:rPr>
        <w:t xml:space="preserve">。本模块</w:t>
      </w:r>
      <w:r>
        <w:rPr>
          <w:rFonts w:ascii="Times New Roman" w:hAnsi="Times New Roman" w:eastAsia="宋体"/>
          <w:b/>
          <w:bCs/>
          <w:sz w:val="21"/>
          <w:szCs w:val="21"/>
        </w:rPr>
        <w:t xml:space="preserve">不重建流程引擎、不重建工单系统、不重建移动端</w:t>
      </w:r>
      <w:r>
        <w:rPr>
          <w:rFonts w:ascii="Times New Roman" w:hAnsi="Times New Roman" w:eastAsia="宋体"/>
          <w:sz w:val="21"/>
          <w:szCs w:val="21"/>
        </w:rPr>
        <w:t xml:space="preserve">，做的是两件事：</w:t>
      </w:r>
    </w:p>
    <w:p>
      <w:pPr>
        <w:spacing w:before="60" w:after="60" w:line="300" w:lineRule="auto"/>
        <w:ind w:firstLine="0" w:left="360"/>
      </w:pPr>
      <w:r>
        <w:rPr>
          <w:rFonts w:ascii="Times New Roman" w:hAnsi="Times New Roman" w:eastAsia="宋体"/>
          <w:sz w:val="21"/>
          <w:szCs w:val="21"/>
        </w:rPr>
        <w:t xml:space="preserve">1. 在既有流程节点上把"人工"换成"AI辅助"（第46、47、48项）；</w:t>
      </w:r>
    </w:p>
    <w:p>
      <w:pPr>
        <w:spacing w:before="60" w:after="60" w:line="300" w:lineRule="auto"/>
        <w:ind w:firstLine="0" w:left="360"/>
      </w:pPr>
      <w:r>
        <w:rPr>
          <w:rFonts w:ascii="Times New Roman" w:hAnsi="Times New Roman" w:eastAsia="宋体"/>
          <w:sz w:val="21"/>
          <w:szCs w:val="21"/>
        </w:rPr>
        <w:t xml:space="preserve">2. 新增标书完全没有的"处置结果回流训练"闭环（第50项）——</w:t>
      </w:r>
      <w:r>
        <w:rPr>
          <w:rFonts w:ascii="Times New Roman" w:hAnsi="Times New Roman" w:eastAsia="宋体"/>
          <w:b/>
          <w:bCs/>
          <w:sz w:val="21"/>
          <w:szCs w:val="21"/>
        </w:rPr>
        <w:t xml:space="preserve">这是整个AI智能体方案"越用越准"的唯一实现路径，也是本模块最核心的增量价值</w:t>
      </w:r>
      <w:r>
        <w:rPr>
          <w:rFonts w:ascii="Times New Roman" w:hAnsi="Times New Roman" w:eastAsia="宋体"/>
          <w:sz w:val="21"/>
          <w:szCs w:val="21"/>
        </w:rPr>
        <w:t xml:space="preserve">。</w:t>
      </w:r>
    </w:p>
    <w:p>
      <w:pPr>
        <w:pBdr>
          <w:bottom w:val="single" w:sz="6" w:space="1" w:color="BFBFBF"/>
        </w:pBdr>
        <w:spacing w:before="160" w:after="160"/>
      </w:pPr>
    </w:p>
    <w:p>
      <w:pPr>
        <w:pStyle w:val="Heading3"/>
        <w:spacing w:before="280" w:after="140" w:line="288" w:lineRule="auto"/>
      </w:pPr>
      <w:r>
        <w:rPr>
          <w:rFonts w:ascii="Arial" w:hAnsi="Arial" w:eastAsia="黑体"/>
          <w:b/>
          <w:bCs/>
          <w:sz w:val="25"/>
          <w:szCs w:val="25"/>
        </w:rPr>
        <w:t xml:space="preserve">4.8 模块八：NL2SQL与智能报表（6项功能 / 24个子功能模块）</w:t>
      </w:r>
    </w:p>
    <w:p>
      <w:pPr>
        <w:spacing w:before="60" w:after="60" w:line="300" w:lineRule="auto"/>
      </w:pPr>
      <w:r>
        <w:rPr>
          <w:rFonts w:ascii="Times New Roman" w:hAnsi="Times New Roman" w:eastAsia="宋体"/>
          <w:b/>
          <w:bCs/>
          <w:sz w:val="21"/>
          <w:szCs w:val="21"/>
        </w:rPr>
        <w:t xml:space="preserve">这个模块干什么：</w:t>
      </w:r>
      <w:r>
        <w:rPr>
          <w:rFonts w:ascii="Times New Roman" w:hAnsi="Times New Roman" w:eastAsia="宋体"/>
          <w:sz w:val="21"/>
          <w:szCs w:val="21"/>
        </w:rPr>
        <w:t xml:space="preserve"> 领导直接打一句话——"上个月洪泽湖夜间垂钓预警比去年同期多多少"，系统自己去查库、自己画图、自己写一段解读。不用再让人跨好几个模块导表、拼Excel。</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75"/>
        <w:gridCol w:w="1446"/>
        <w:gridCol w:w="1735"/>
        <w:gridCol w:w="3952"/>
        <w:gridCol w:w="1830"/>
      </w:tblGrid>
      <w:tr>
        <w:trPr>
          <w:tblHeader/>
          <w:cantSplit/>
        </w:trPr>
        <w:tc>
          <w:tcPr>
            <w:tcW w:w="67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序号</w:t>
            </w:r>
          </w:p>
        </w:tc>
        <w:tc>
          <w:tcPr>
            <w:tcW w:w="1446"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功能模块</w:t>
            </w:r>
          </w:p>
        </w:tc>
        <w:tc>
          <w:tcPr>
            <w:tcW w:w="173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子功能模块</w:t>
            </w:r>
          </w:p>
        </w:tc>
        <w:tc>
          <w:tcPr>
            <w:tcW w:w="3952"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建设内容说明</w:t>
            </w:r>
          </w:p>
        </w:tc>
        <w:tc>
          <w:tcPr>
            <w:tcW w:w="1830"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与标书关系</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51</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NL2SQL查询引擎</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库表语义层建模</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把数据库字段翻译成业务人员听得懂的说法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自然语言转SQL</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把一句话变成数据库查询语句</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SQL安全校验</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强制只读、防注入、限制返回行数</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结果校验与纠错重试</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查不出或查错时自动纠正后重试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52</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图表自动推荐</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数据特征识别</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判断数据适合用趋势、占比还是对比来表达</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图表类型推荐</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自动推荐最合适的图表类型</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可视化渲染</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调用既有图表组件渲染</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复用（标书数据能力已有近30种图表）</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样式与主题适配</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适配平台整体视觉风格</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53</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图表AI解读</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关键结论自动提取</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自动指出图里最值得关注的那个点</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同比环比与异常点说明</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自动算同比环比并解释异常波动</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自然语言摘要生成</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生成一段可直接用于汇报的文字</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结论引用数据溯源</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每个结论可点击看到底层数据</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54</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多轮智能问答</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上下文追问</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支持"那前年呢"这类省略式追问</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指代消解</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理解"这个湖""他们"具体指什么</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数据权限过滤</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按省级、湖区、执勤点权限自动过滤数据</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深化（复用标书角色权限体系）</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敏感字段屏蔽</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身份证号等敏感字段自动脱敏</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55</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趋势预测</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历史序列建模</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基于历史数据建立趋势模型</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高发时段与水域预测</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预测未来一段时间的高发时空</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事前预警提示</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提前推送布控建议</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预测准确性回评</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事后回看预测准不准并调优</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56</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报表导出分享</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一键导出</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导出Word、Excel、PDF、图片</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复用（标书报表引擎已支持列表导出）</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报表模板管理</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常用报表做成模板</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定时生成与推送</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按周、月自动生成并推送给指定人员</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分享链接与权限控制</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分享时同步控制查看权限</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bl>
    <w:p>
      <w:pPr>
        <w:spacing w:before="0" w:after="60"/>
      </w:pPr>
    </w:p>
    <w:p>
      <w:pPr>
        <w:spacing w:before="60" w:after="60" w:line="300" w:lineRule="auto"/>
      </w:pPr>
      <w:r>
        <w:rPr>
          <w:rFonts w:ascii="Times New Roman" w:hAnsi="Times New Roman" w:eastAsia="宋体"/>
          <w:b/>
          <w:bCs/>
          <w:sz w:val="21"/>
          <w:szCs w:val="21"/>
        </w:rPr>
        <w:t xml:space="preserve">可行性结论：可行，以复用为主。</w:t>
      </w:r>
    </w:p>
    <w:p>
      <w:pPr>
        <w:spacing w:before="60" w:after="60" w:line="300" w:lineRule="auto"/>
      </w:pPr>
      <w:r>
        <w:rPr>
          <w:rFonts w:ascii="Times New Roman" w:hAnsi="Times New Roman" w:eastAsia="宋体"/>
          <w:sz w:val="21"/>
          <w:szCs w:val="21"/>
        </w:rPr>
        <w:t xml:space="preserve">标书"数据能力—数据建模可视化"已提供数据源接入、工作表、业务建模、驾驶舱和近30种图表；"业务能力中心—报表引擎"已提供数据源配置、预统计、页面配置。</w:t>
      </w:r>
      <w:r>
        <w:rPr>
          <w:rFonts w:ascii="Times New Roman" w:hAnsi="Times New Roman" w:eastAsia="宋体"/>
          <w:b/>
          <w:bCs/>
          <w:sz w:val="21"/>
          <w:szCs w:val="21"/>
        </w:rPr>
        <w:t xml:space="preserve">本模块不重建BI底座</w:t>
      </w:r>
      <w:r>
        <w:rPr>
          <w:rFonts w:ascii="Times New Roman" w:hAnsi="Times New Roman" w:eastAsia="宋体"/>
          <w:sz w:val="21"/>
          <w:szCs w:val="21"/>
        </w:rPr>
        <w:t xml:space="preserve">，只在其上加一层"自然语言入口＋AI解读"。</w:t>
      </w:r>
    </w:p>
    <w:p>
      <w:pPr>
        <w:spacing w:before="60" w:after="60" w:line="300" w:lineRule="auto"/>
      </w:pPr>
      <w:r>
        <w:rPr>
          <w:rFonts w:ascii="Times New Roman" w:hAnsi="Times New Roman" w:eastAsia="宋体"/>
          <w:b/>
          <w:bCs/>
          <w:sz w:val="21"/>
          <w:szCs w:val="21"/>
        </w:rPr>
        <w:t xml:space="preserve">需要如实向领导说明的一点：</w:t>
      </w:r>
      <w:r>
        <w:rPr>
          <w:rFonts w:ascii="Times New Roman" w:hAnsi="Times New Roman" w:eastAsia="宋体"/>
          <w:sz w:val="21"/>
          <w:szCs w:val="21"/>
        </w:rPr>
        <w:t xml:space="preserve"> NL2SQL在复杂多表关联查询上准确率有天花板，业内没有能承诺"任意问题都答对"的方案。建议的应对是：建立语义层，并把20—30个高频问法做成受控模板兜住主要场景；界面上</w:t>
      </w:r>
      <w:r>
        <w:rPr>
          <w:rFonts w:ascii="Times New Roman" w:hAnsi="Times New Roman" w:eastAsia="宋体"/>
          <w:b/>
          <w:bCs/>
          <w:sz w:val="21"/>
          <w:szCs w:val="21"/>
        </w:rPr>
        <w:t xml:space="preserve">始终展示生成的SQL和数据来源</w:t>
      </w:r>
      <w:r>
        <w:rPr>
          <w:rFonts w:ascii="Times New Roman" w:hAnsi="Times New Roman" w:eastAsia="宋体"/>
          <w:sz w:val="21"/>
          <w:szCs w:val="21"/>
        </w:rPr>
        <w:t xml:space="preserve">，供人工核对。验收指标建议按"高频问题模板覆盖场景准确率≥95%，开放式提问准确率≥80%"分层设定。</w:t>
      </w:r>
    </w:p>
    <w:p>
      <w:pPr>
        <w:pBdr>
          <w:bottom w:val="single" w:sz="6" w:space="1" w:color="BFBFBF"/>
        </w:pBdr>
        <w:spacing w:before="160" w:after="160"/>
      </w:pPr>
    </w:p>
    <w:p>
      <w:pPr>
        <w:pStyle w:val="Heading3"/>
        <w:spacing w:before="280" w:after="140" w:line="288" w:lineRule="auto"/>
      </w:pPr>
      <w:r>
        <w:rPr>
          <w:rFonts w:ascii="Arial" w:hAnsi="Arial" w:eastAsia="黑体"/>
          <w:b/>
          <w:bCs/>
          <w:sz w:val="25"/>
          <w:szCs w:val="25"/>
        </w:rPr>
        <w:t xml:space="preserve">4.9 模块九：人机协同与安全合规（6项功能 / 24个子功能模块）</w:t>
      </w:r>
    </w:p>
    <w:p>
      <w:pPr>
        <w:spacing w:before="60" w:after="60" w:line="300" w:lineRule="auto"/>
      </w:pPr>
      <w:r>
        <w:rPr>
          <w:rFonts w:ascii="Times New Roman" w:hAnsi="Times New Roman" w:eastAsia="宋体"/>
          <w:b/>
          <w:bCs/>
          <w:sz w:val="21"/>
          <w:szCs w:val="21"/>
        </w:rPr>
        <w:t xml:space="preserve">这个模块干什么：</w:t>
      </w:r>
      <w:r>
        <w:rPr>
          <w:rFonts w:ascii="Times New Roman" w:hAnsi="Times New Roman" w:eastAsia="宋体"/>
          <w:sz w:val="21"/>
          <w:szCs w:val="21"/>
        </w:rPr>
        <w:t xml:space="preserve"> 这个模块回答领导最关心的三个问题——</w:t>
      </w:r>
      <w:r>
        <w:rPr>
          <w:rFonts w:ascii="Times New Roman" w:hAnsi="Times New Roman" w:eastAsia="宋体"/>
          <w:b/>
          <w:bCs/>
          <w:sz w:val="21"/>
          <w:szCs w:val="21"/>
        </w:rPr>
        <w:t xml:space="preserve">AI说错了怎么办？AI凭什么这么说？出了事谁负责、查不查得到？</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75"/>
        <w:gridCol w:w="1446"/>
        <w:gridCol w:w="1735"/>
        <w:gridCol w:w="3952"/>
        <w:gridCol w:w="1830"/>
      </w:tblGrid>
      <w:tr>
        <w:trPr>
          <w:tblHeader/>
          <w:cantSplit/>
        </w:trPr>
        <w:tc>
          <w:tcPr>
            <w:tcW w:w="67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序号</w:t>
            </w:r>
          </w:p>
        </w:tc>
        <w:tc>
          <w:tcPr>
            <w:tcW w:w="1446"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功能模块</w:t>
            </w:r>
          </w:p>
        </w:tc>
        <w:tc>
          <w:tcPr>
            <w:tcW w:w="173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子功能模块</w:t>
            </w:r>
          </w:p>
        </w:tc>
        <w:tc>
          <w:tcPr>
            <w:tcW w:w="3952"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建设内容说明</w:t>
            </w:r>
          </w:p>
        </w:tc>
        <w:tc>
          <w:tcPr>
            <w:tcW w:w="1830"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与标书关系</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57</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AI建议采纳/驳回反馈</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一键采纳、驳回、修改</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执法人员对每条AI建议直接表态</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驳回原因结构化记录</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驳回时选择原因，形成可分析的数据</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反馈数据回流优化</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驳回数据自动回流用于优化模型</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采纳率统计看板</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统计各类AI建议的采纳率，衡量AI实际水平</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58</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主动请求人工介入</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低置信度自动请示</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把握不足时主动交回人工</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高风险动作强制审批</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无人机起飞、对外通知等必须审批</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请示消息定向推送</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按事件类型推送给对应责任人</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超时未响应自动升级</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无人响应则逐级上报</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59</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人机协作界面</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推理链可视化</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看得到AI每一步用了什么数据、查了什么法条</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证据溯源跳转</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点结论直接跳到原始图像或法条原文</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AI建议与人工判断并列对比</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两者并排显示，便于人工核对</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一键干预入口</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任意环节都能人工介入</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60</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人工兜底机制</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全流程人工接管入口</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每个AI环节都有对应的人工接管入口</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AI能力一键停用与降级</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出现问题可一键关闭AI，回落到现有人工流程</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人工结论优先原则固化</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人工结论与AI不一致时，以人工为准并留痕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接管操作留痕</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谁在什么时候接管了什么，全部记录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61</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输出合规审核</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涉密与敏感信息检测</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输出前自动检测是否含涉密内容</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不当言论过滤</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过滤不适宜的表述</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个人信息脱敏输出</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对外输出时自动脱敏</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违规拦截与告警</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检出违规内容直接拦截并告警</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62</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操作全链路审计</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决策推理链完整留存</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每个AI决策的完整推理过程可长期查询</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工具调用与数据访问审计</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AI调了哪些工具、查了哪些数据全留痕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责任主体标识</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明确区分"AI建议"与"人工决定"，责任可分</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审计查询导出与日志对接</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支持审计查询导出，并对接苏农云日志系统</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深化（复用标书日志系统对接）</w:t>
            </w:r>
          </w:p>
        </w:tc>
      </w:tr>
    </w:tbl>
    <w:p>
      <w:pPr>
        <w:spacing w:before="0" w:after="60"/>
      </w:pPr>
    </w:p>
    <w:p>
      <w:pPr>
        <w:spacing w:before="60" w:after="60" w:line="300" w:lineRule="auto"/>
      </w:pPr>
      <w:r>
        <w:rPr>
          <w:rFonts w:ascii="Times New Roman" w:hAnsi="Times New Roman" w:eastAsia="宋体"/>
          <w:b/>
          <w:bCs/>
          <w:sz w:val="21"/>
          <w:szCs w:val="21"/>
        </w:rPr>
        <w:t xml:space="preserve">可行性结论：可行，且建议列为第一优先级建设内容。</w:t>
      </w:r>
    </w:p>
    <w:p>
      <w:pPr>
        <w:spacing w:before="60" w:after="60" w:line="300" w:lineRule="auto"/>
      </w:pPr>
      <w:r>
        <w:rPr>
          <w:rFonts w:ascii="Times New Roman" w:hAnsi="Times New Roman" w:eastAsia="宋体"/>
          <w:sz w:val="21"/>
          <w:szCs w:val="21"/>
        </w:rPr>
        <w:t xml:space="preserve">本模块直接对应标书中的等保三级、密评、日志审计等硬性要求，是"AI进执法环节"能不能通过审查的关键。核心原则建议在方案中写死并作为验收条款：</w:t>
      </w:r>
    </w:p>
    <w:p>
      <w:pPr>
        <w:pBdr>
          <w:left w:val="single" w:sz="18" w:space="6" w:color="2E5C8A"/>
        </w:pBdr>
        <w:shd w:val="clear" w:color="auto" w:fill="F2F5F9"/>
        <w:spacing w:before="160" w:after="160" w:line="300" w:lineRule="auto"/>
        <w:ind w:left="360" w:right="240"/>
      </w:pPr>
      <w:r>
        <w:rPr>
          <w:rFonts w:ascii="Times New Roman" w:hAnsi="Times New Roman" w:eastAsia="宋体"/>
          <w:b/>
          <w:bCs/>
          <w:sz w:val="21"/>
          <w:szCs w:val="21"/>
        </w:rPr>
        <w:t xml:space="preserve">AI只出建议，不作决定。行政处罚决定由执法人员依法作出并签字负责；AI的全部推理过程、数据来源、工具调用可完整追溯；任何环节可一键停用AI，回落至现有人工流程，不影响业务连续性。</w:t>
      </w:r>
    </w:p>
    <w:p>
      <w:pPr>
        <w:pBdr>
          <w:bottom w:val="single" w:sz="6" w:space="1" w:color="BFBFBF"/>
        </w:pBdr>
        <w:spacing w:before="160" w:after="160"/>
      </w:pPr>
    </w:p>
    <w:p>
      <w:pPr>
        <w:pStyle w:val="Heading3"/>
        <w:spacing w:before="280" w:after="140" w:line="288" w:lineRule="auto"/>
      </w:pPr>
      <w:r>
        <w:rPr>
          <w:rFonts w:ascii="Arial" w:hAnsi="Arial" w:eastAsia="黑体"/>
          <w:b/>
          <w:bCs/>
          <w:sz w:val="25"/>
          <w:szCs w:val="25"/>
        </w:rPr>
        <w:t xml:space="preserve">4.10 模块十：智能巡查（5项功能 / 20个子功能模块）</w:t>
      </w:r>
    </w:p>
    <w:p>
      <w:pPr>
        <w:spacing w:before="60" w:after="60" w:line="300" w:lineRule="auto"/>
      </w:pPr>
      <w:r>
        <w:rPr>
          <w:rFonts w:ascii="Times New Roman" w:hAnsi="Times New Roman" w:eastAsia="宋体"/>
          <w:b/>
          <w:bCs/>
          <w:sz w:val="21"/>
          <w:szCs w:val="21"/>
        </w:rPr>
        <w:t xml:space="preserve">这个模块干什么：</w:t>
      </w:r>
      <w:r>
        <w:rPr>
          <w:rFonts w:ascii="Times New Roman" w:hAnsi="Times New Roman" w:eastAsia="宋体"/>
          <w:sz w:val="21"/>
          <w:szCs w:val="21"/>
        </w:rPr>
        <w:t xml:space="preserve"> 把巡查从"回来补表格"变成"走一趟自动生成一份带轨迹、带照片、带结论的记录"。同时用轨迹和影像数据反过来核验巡查是不是真去了、覆盖到不到位。</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75"/>
        <w:gridCol w:w="1446"/>
        <w:gridCol w:w="1735"/>
        <w:gridCol w:w="3952"/>
        <w:gridCol w:w="1830"/>
      </w:tblGrid>
      <w:tr>
        <w:trPr>
          <w:tblHeader/>
          <w:cantSplit/>
        </w:trPr>
        <w:tc>
          <w:tcPr>
            <w:tcW w:w="67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序号</w:t>
            </w:r>
          </w:p>
        </w:tc>
        <w:tc>
          <w:tcPr>
            <w:tcW w:w="1446"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功能模块</w:t>
            </w:r>
          </w:p>
        </w:tc>
        <w:tc>
          <w:tcPr>
            <w:tcW w:w="173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子功能模块</w:t>
            </w:r>
          </w:p>
        </w:tc>
        <w:tc>
          <w:tcPr>
            <w:tcW w:w="3952"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建设内容说明</w:t>
            </w:r>
          </w:p>
        </w:tc>
        <w:tc>
          <w:tcPr>
            <w:tcW w:w="1830"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与标书关系</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63</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组队定位采集</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巡查组队与人员编排</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组建巡查小组、指定成员与分工</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深化（标书已有任务创建配置）</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时间自动打点</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出发、到点、结束时间自动记录，无需手填</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GPS与北斗轨迹自动采集</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全程轨迹自动采集</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地址自动逆解析</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经纬度自动转成水域名称、岸段名称</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64</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轨迹地图展示</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巡查轨迹自动成图</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巡查结束自动生成轨迹地图</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覆盖水域范围计算</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自动算出本次覆盖了多少水域、多长岸线</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停留点识别与标注</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自动识别停留点并在图上标注</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多队伍轨迹叠加对比</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多支队伍轨迹叠加，看清覆盖与重叠</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65</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AI路径优化建议</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基于高发区的路线推荐</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结合违法高发时空规律推荐巡查路线</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覆盖盲区识别与补巡提示</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找出长期没人去的盲区并提示补巡</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轨迹查询与路线回放</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按时间、队伍、水域查询并回放</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巡查真实性追溯与核验</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通过轨迹、影像、时间三方交叉核验</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66</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影像水印归档</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现场影像自动水印</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自动打上时间、地点、人员、设备水印</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标准化智能分类归档</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按设备、人员、日期、地点、说明自动归档</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影像与巡查任务自动关联</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照片自动挂到对应的巡查任务下</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归档检索与调阅</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按多种条件快速检索调阅</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r>
        <w:tc>
          <w:tcPr>
            <w:tcW w:w="67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67</w:t>
            </w:r>
          </w:p>
        </w:tc>
        <w:tc>
          <w:tcPr>
            <w:tcW w:w="1446"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巡查闭环管理</w:t>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巡查记录自动生成</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自动生成巡查记录，人工确认即可</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深化（标书已有任务归档与简易报告）</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发现问题转处置工单</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巡查发现的问题一键转为处置工单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复用（标书事件中心）</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全过程闭环留痕</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从派任务到问题办结全过程留痕</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复用</w:t>
            </w:r>
          </w:p>
        </w:tc>
      </w:tr>
      <w:tr>
        <w:tc>
          <w:tcPr>
            <w:tcW w:w="675" w:type="dxa"/>
            <w:tcMar>
              <w:top w:w="40" w:type="dxa"/>
              <w:left w:w="70" w:type="dxa"/>
              <w:bottom w:w="40" w:type="dxa"/>
              <w:right w:w="70" w:type="dxa"/>
            </w:tcMar>
            <w:vAlign w:val="top"/>
          </w:tcPr>
          <w:p>
            <w:pPr>
              <w:spacing w:before="20" w:after="20" w:line="264" w:lineRule="auto"/>
            </w:pPr>
            <w:r>
              <w:t xml:space="preserve"/>
            </w:r>
          </w:p>
        </w:tc>
        <w:tc>
          <w:tcPr>
            <w:tcW w:w="1446" w:type="dxa"/>
            <w:tcMar>
              <w:top w:w="40" w:type="dxa"/>
              <w:left w:w="70" w:type="dxa"/>
              <w:bottom w:w="40" w:type="dxa"/>
              <w:right w:w="70" w:type="dxa"/>
            </w:tcMar>
            <w:vAlign w:val="top"/>
          </w:tcPr>
          <w:p>
            <w:pPr>
              <w:spacing w:before="20" w:after="20" w:line="264" w:lineRule="auto"/>
            </w:pPr>
            <w:r>
              <w:t xml:space="preserve"/>
            </w:r>
          </w:p>
        </w:tc>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巡查质量AI质检</w:t>
            </w:r>
          </w:p>
        </w:tc>
        <w:tc>
          <w:tcPr>
            <w:tcW w:w="395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对记录完整性、覆盖率、停留合理性自动打分</w:t>
            </w:r>
          </w:p>
        </w:tc>
        <w:tc>
          <w:tcPr>
            <w:tcW w:w="1830"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w:t>
            </w:r>
          </w:p>
        </w:tc>
      </w:tr>
    </w:tbl>
    <w:p>
      <w:pPr>
        <w:spacing w:before="0" w:after="60"/>
      </w:pPr>
    </w:p>
    <w:p>
      <w:pPr>
        <w:spacing w:before="60" w:after="60" w:line="300" w:lineRule="auto"/>
      </w:pPr>
      <w:r>
        <w:rPr>
          <w:rFonts w:ascii="Times New Roman" w:hAnsi="Times New Roman" w:eastAsia="宋体"/>
          <w:b/>
          <w:bCs/>
          <w:sz w:val="21"/>
          <w:szCs w:val="21"/>
        </w:rPr>
        <w:t xml:space="preserve">可行性结论：可行，技术难度在10个模块中最低。</w:t>
      </w:r>
    </w:p>
    <w:p>
      <w:pPr>
        <w:spacing w:before="60" w:after="60" w:line="300" w:lineRule="auto"/>
      </w:pPr>
      <w:r>
        <w:rPr>
          <w:rFonts w:ascii="Times New Roman" w:hAnsi="Times New Roman" w:eastAsia="宋体"/>
          <w:b/>
          <w:bCs/>
          <w:sz w:val="21"/>
          <w:szCs w:val="21"/>
        </w:rPr>
        <w:t xml:space="preserve">与标书的边界：</w:t>
      </w:r>
      <w:r>
        <w:rPr>
          <w:rFonts w:ascii="Times New Roman" w:hAnsi="Times New Roman" w:eastAsia="宋体"/>
          <w:sz w:val="21"/>
          <w:szCs w:val="21"/>
        </w:rPr>
        <w:t xml:space="preserve"> 标书"巡查执勤处置子系统"已含巡查路径管理、视频巡查、图片巡查、任务签收/调度/反馈、任务归档、汇总分析和移动端（基于苏农云移动应用基座）。本模块</w:t>
      </w:r>
      <w:r>
        <w:rPr>
          <w:rFonts w:ascii="Times New Roman" w:hAnsi="Times New Roman" w:eastAsia="宋体"/>
          <w:b/>
          <w:bCs/>
          <w:sz w:val="21"/>
          <w:szCs w:val="21"/>
        </w:rPr>
        <w:t xml:space="preserve">不另建APP、不重建巡查流程</w:t>
      </w:r>
      <w:r>
        <w:rPr>
          <w:rFonts w:ascii="Times New Roman" w:hAnsi="Times New Roman" w:eastAsia="宋体"/>
          <w:sz w:val="21"/>
          <w:szCs w:val="21"/>
        </w:rPr>
        <w:t xml:space="preserve">，新增的是标书没有的4类能力：</w:t>
      </w:r>
      <w:r>
        <w:rPr>
          <w:rFonts w:ascii="Times New Roman" w:hAnsi="Times New Roman" w:eastAsia="宋体"/>
          <w:b/>
          <w:bCs/>
          <w:sz w:val="21"/>
          <w:szCs w:val="21"/>
        </w:rPr>
        <w:t xml:space="preserve">轨迹自动采集与成图、影像自动水印归档、AI路线优化、巡查质量AI质检</w:t>
      </w:r>
      <w:r>
        <w:rPr>
          <w:rFonts w:ascii="Times New Roman" w:hAnsi="Times New Roman" w:eastAsia="宋体"/>
          <w:sz w:val="21"/>
          <w:szCs w:val="21"/>
        </w:rPr>
        <w:t xml:space="preserve">。</w:t>
      </w:r>
    </w:p>
    <w:p>
      <w:pPr>
        <w:spacing w:before="60" w:after="60" w:line="300" w:lineRule="auto"/>
      </w:pPr>
      <w:r>
        <w:rPr>
          <w:rFonts w:ascii="Times New Roman" w:hAnsi="Times New Roman" w:eastAsia="宋体"/>
          <w:b/>
          <w:bCs/>
          <w:sz w:val="21"/>
          <w:szCs w:val="21"/>
        </w:rPr>
        <w:t xml:space="preserve">一点提请复核：</w:t>
      </w:r>
      <w:r>
        <w:rPr>
          <w:rFonts w:ascii="Times New Roman" w:hAnsi="Times New Roman" w:eastAsia="宋体"/>
          <w:sz w:val="21"/>
          <w:szCs w:val="21"/>
        </w:rPr>
        <w:t xml:space="preserve"> 本模块在V5报告中人天（80天）和金额（16万元）为10个模块中最高，但技术复杂度明显低于模块一（多智能体框架）、模块四（知识库与RAG）和模块六（视频识别）。建议在报送前复核工作量分配的合理性，避免评审环节被质疑测算依据不充分。</w:t>
      </w:r>
    </w:p>
    <w:p>
      <w:pPr>
        <w:pBdr>
          <w:bottom w:val="single" w:sz="6" w:space="1" w:color="BFBFBF"/>
        </w:pBdr>
        <w:spacing w:before="160" w:after="160"/>
      </w:pPr>
    </w:p>
    <w:p>
      <w:pPr>
        <w:pStyle w:val="Heading2"/>
        <w:spacing w:before="320" w:after="160" w:line="288" w:lineRule="auto"/>
      </w:pPr>
      <w:r>
        <w:rPr>
          <w:rFonts w:ascii="Arial" w:hAnsi="Arial" w:eastAsia="黑体"/>
          <w:b/>
          <w:bCs/>
          <w:sz w:val="30"/>
          <w:szCs w:val="30"/>
        </w:rPr>
        <w:t xml:space="preserve">五、10大模块汇总对照表</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735"/>
        <w:gridCol w:w="771"/>
        <w:gridCol w:w="964"/>
        <w:gridCol w:w="1928"/>
        <w:gridCol w:w="1928"/>
        <w:gridCol w:w="2312"/>
      </w:tblGrid>
      <w:tr>
        <w:trPr>
          <w:tblHeader/>
          <w:cantSplit/>
        </w:trPr>
        <w:tc>
          <w:tcPr>
            <w:tcW w:w="1735"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模块</w:t>
            </w:r>
          </w:p>
        </w:tc>
        <w:tc>
          <w:tcPr>
            <w:tcW w:w="771"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功能项数</w:t>
            </w:r>
          </w:p>
        </w:tc>
        <w:tc>
          <w:tcPr>
            <w:tcW w:w="964"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子功能模块数</w:t>
            </w:r>
          </w:p>
        </w:tc>
        <w:tc>
          <w:tcPr>
            <w:tcW w:w="1928"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与标书的关系</w:t>
            </w:r>
          </w:p>
        </w:tc>
        <w:tc>
          <w:tcPr>
            <w:tcW w:w="1928"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可行性结论</w:t>
            </w:r>
          </w:p>
        </w:tc>
        <w:tc>
          <w:tcPr>
            <w:tcW w:w="2312"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关键前置条件</w:t>
            </w:r>
          </w:p>
        </w:tc>
      </w:tr>
      <w:tr>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一、多智能体协作框架</w:t>
            </w:r>
          </w:p>
        </w:tc>
        <w:tc>
          <w:tcPr>
            <w:tcW w:w="77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7</w:t>
            </w:r>
          </w:p>
        </w:tc>
        <w:tc>
          <w:tcPr>
            <w:tcW w:w="964"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29</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全新增</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可行</w:t>
            </w:r>
          </w:p>
        </w:tc>
        <w:tc>
          <w:tcPr>
            <w:tcW w:w="231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事件中心与服务总线接口开放</w:t>
            </w:r>
          </w:p>
        </w:tc>
      </w:tr>
      <w:tr>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二、任务规划与自主决策</w:t>
            </w:r>
          </w:p>
        </w:tc>
        <w:tc>
          <w:tcPr>
            <w:tcW w:w="77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7</w:t>
            </w:r>
          </w:p>
        </w:tc>
        <w:tc>
          <w:tcPr>
            <w:tcW w:w="964"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27</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全新增</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可行</w:t>
            </w:r>
          </w:p>
        </w:tc>
        <w:tc>
          <w:tcPr>
            <w:tcW w:w="231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需先确定红线规则清单与置信度阈值分档</w:t>
            </w:r>
          </w:p>
        </w:tc>
      </w:tr>
      <w:tr>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三、记忆管理系统</w:t>
            </w:r>
          </w:p>
        </w:tc>
        <w:tc>
          <w:tcPr>
            <w:tcW w:w="77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8</w:t>
            </w:r>
          </w:p>
        </w:tc>
        <w:tc>
          <w:tcPr>
            <w:tcW w:w="964"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32</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新增为主，底层数据复用</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可行</w:t>
            </w:r>
          </w:p>
        </w:tc>
        <w:tc>
          <w:tcPr>
            <w:tcW w:w="231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遗忘与留存策略需法制部门确认</w:t>
            </w:r>
          </w:p>
        </w:tc>
      </w:tr>
      <w:tr>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四、知识库与RAG</w:t>
            </w:r>
          </w:p>
        </w:tc>
        <w:tc>
          <w:tcPr>
            <w:tcW w:w="77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8</w:t>
            </w:r>
          </w:p>
        </w:tc>
        <w:tc>
          <w:tcPr>
            <w:tcW w:w="964"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32</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全新增</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可行（成熟度最高）</w:t>
            </w:r>
          </w:p>
        </w:tc>
        <w:tc>
          <w:tcPr>
            <w:tcW w:w="231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需采购人提供权威法规与裁量基准文本</w:t>
            </w:r>
          </w:p>
        </w:tc>
      </w:tr>
      <w:tr>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五、工具调用与执行</w:t>
            </w:r>
          </w:p>
        </w:tc>
        <w:tc>
          <w:tcPr>
            <w:tcW w:w="77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7</w:t>
            </w:r>
          </w:p>
        </w:tc>
        <w:tc>
          <w:tcPr>
            <w:tcW w:w="964"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29</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新增框架，能力复用</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可行</w:t>
            </w:r>
          </w:p>
        </w:tc>
        <w:tc>
          <w:tcPr>
            <w:tcW w:w="2312"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《接口开放清单》与开放时间表</w:t>
            </w:r>
          </w:p>
        </w:tc>
      </w:tr>
      <w:tr>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六、视频智能识别与模型能力</w:t>
            </w:r>
          </w:p>
        </w:tc>
        <w:tc>
          <w:tcPr>
            <w:tcW w:w="77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7</w:t>
            </w:r>
          </w:p>
        </w:tc>
        <w:tc>
          <w:tcPr>
            <w:tcW w:w="964"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30</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在已建算法上深化</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可行，指标分阶段达标</w:t>
            </w:r>
          </w:p>
        </w:tc>
        <w:tc>
          <w:tcPr>
            <w:tcW w:w="231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点位成像条件盘点、冷启动样本来源</w:t>
            </w:r>
          </w:p>
        </w:tc>
      </w:tr>
      <w:tr>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七、执法调度与派单</w:t>
            </w:r>
          </w:p>
        </w:tc>
        <w:tc>
          <w:tcPr>
            <w:tcW w:w="77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6</w:t>
            </w:r>
          </w:p>
        </w:tc>
        <w:tc>
          <w:tcPr>
            <w:tcW w:w="964"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25</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流程复用，AI能力新增</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可行</w:t>
            </w:r>
          </w:p>
        </w:tc>
        <w:tc>
          <w:tcPr>
            <w:tcW w:w="231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需逐条标注复用/新增边界</w:t>
            </w:r>
          </w:p>
        </w:tc>
      </w:tr>
      <w:tr>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八、NL2SQL与智能报表</w:t>
            </w:r>
          </w:p>
        </w:tc>
        <w:tc>
          <w:tcPr>
            <w:tcW w:w="77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6</w:t>
            </w:r>
          </w:p>
        </w:tc>
        <w:tc>
          <w:tcPr>
            <w:tcW w:w="964"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24</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BI底座复用，入口新增</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可行，指标分层设定</w:t>
            </w:r>
          </w:p>
        </w:tc>
        <w:tc>
          <w:tcPr>
            <w:tcW w:w="231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语义层建模、高频问法模板库</w:t>
            </w:r>
          </w:p>
        </w:tc>
      </w:tr>
      <w:tr>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九、人机协同与安全合规</w:t>
            </w:r>
          </w:p>
        </w:tc>
        <w:tc>
          <w:tcPr>
            <w:tcW w:w="77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6</w:t>
            </w:r>
          </w:p>
        </w:tc>
        <w:tc>
          <w:tcPr>
            <w:tcW w:w="964"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24</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全新增</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可行（建议优先建）</w:t>
            </w:r>
          </w:p>
        </w:tc>
        <w:tc>
          <w:tcPr>
            <w:tcW w:w="231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AI责任边界需法制部门书面确认</w:t>
            </w:r>
          </w:p>
        </w:tc>
      </w:tr>
      <w:tr>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十、智能巡查</w:t>
            </w:r>
          </w:p>
        </w:tc>
        <w:tc>
          <w:tcPr>
            <w:tcW w:w="77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5</w:t>
            </w:r>
          </w:p>
        </w:tc>
        <w:tc>
          <w:tcPr>
            <w:tcW w:w="964"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20</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流程复用，4类能力新增</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可行（难度最低）</w:t>
            </w:r>
          </w:p>
        </w:tc>
        <w:tc>
          <w:tcPr>
            <w:tcW w:w="231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建议复核工作量测算</w:t>
            </w:r>
          </w:p>
        </w:tc>
      </w:tr>
      <w:tr>
        <w:tc>
          <w:tcPr>
            <w:tcW w:w="1735"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合计</w:t>
            </w:r>
          </w:p>
        </w:tc>
        <w:tc>
          <w:tcPr>
            <w:tcW w:w="771"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67</w:t>
            </w:r>
          </w:p>
        </w:tc>
        <w:tc>
          <w:tcPr>
            <w:tcW w:w="964"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272</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w:t>
            </w:r>
          </w:p>
        </w:tc>
        <w:tc>
          <w:tcPr>
            <w:tcW w:w="1928"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全部可行</w:t>
            </w:r>
          </w:p>
        </w:tc>
        <w:tc>
          <w:tcPr>
            <w:tcW w:w="231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w:t>
            </w:r>
          </w:p>
        </w:tc>
      </w:tr>
    </w:tbl>
    <w:p>
      <w:pPr>
        <w:spacing w:before="0" w:after="60"/>
      </w:pPr>
    </w:p>
    <w:p>
      <w:pPr>
        <w:pBdr>
          <w:bottom w:val="single" w:sz="6" w:space="1" w:color="BFBFBF"/>
        </w:pBdr>
        <w:spacing w:before="160" w:after="160"/>
      </w:pPr>
    </w:p>
    <w:p>
      <w:pPr>
        <w:pStyle w:val="Heading2"/>
        <w:spacing w:before="320" w:after="160" w:line="288" w:lineRule="auto"/>
      </w:pPr>
      <w:r>
        <w:rPr>
          <w:rFonts w:ascii="Arial" w:hAnsi="Arial" w:eastAsia="黑体"/>
          <w:b/>
          <w:bCs/>
          <w:sz w:val="30"/>
          <w:szCs w:val="30"/>
        </w:rPr>
        <w:t xml:space="preserve">六、风险、前置条件与应对</w:t>
      </w:r>
    </w:p>
    <w:tbl>
      <w:tblPr>
        <w:tblW w:w="96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542"/>
        <w:gridCol w:w="2313"/>
        <w:gridCol w:w="2891"/>
        <w:gridCol w:w="2892"/>
      </w:tblGrid>
      <w:tr>
        <w:trPr>
          <w:tblHeader/>
          <w:cantSplit/>
        </w:trPr>
        <w:tc>
          <w:tcPr>
            <w:tcW w:w="1542"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风险项</w:t>
            </w:r>
          </w:p>
        </w:tc>
        <w:tc>
          <w:tcPr>
            <w:tcW w:w="2313"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具体说明</w:t>
            </w:r>
          </w:p>
        </w:tc>
        <w:tc>
          <w:tcPr>
            <w:tcW w:w="2891"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应对措施</w:t>
            </w:r>
          </w:p>
        </w:tc>
        <w:tc>
          <w:tcPr>
            <w:tcW w:w="2892" w:type="dxa"/>
            <w:shd w:val="clear" w:color="auto" w:fill="DCE6F1"/>
            <w:tcMar>
              <w:top w:w="40" w:type="dxa"/>
              <w:left w:w="70" w:type="dxa"/>
              <w:bottom w:w="40" w:type="dxa"/>
              <w:right w:w="70" w:type="dxa"/>
            </w:tcMar>
            <w:vAlign w:val="top"/>
          </w:tcPr>
          <w:p>
            <w:pPr>
              <w:spacing w:before="20" w:after="20" w:line="264" w:lineRule="auto"/>
            </w:pPr>
            <w:r>
              <w:rPr>
                <w:rFonts w:ascii="Arial" w:hAnsi="Arial" w:eastAsia="黑体"/>
                <w:b/>
                <w:bCs/>
                <w:sz w:val="18"/>
                <w:szCs w:val="18"/>
              </w:rPr>
              <w:t xml:space="preserve">责任方建议</w:t>
            </w:r>
          </w:p>
        </w:tc>
      </w:tr>
      <w:tr>
        <w:tc>
          <w:tcPr>
            <w:tcW w:w="1542"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接口开放依赖</w:t>
            </w:r>
            <w:r>
              <w:rPr>
                <w:rFonts w:ascii="Times New Roman" w:hAnsi="Times New Roman" w:eastAsia="宋体"/>
                <w:sz w:val="18"/>
                <w:szCs w:val="18"/>
              </w:rPr>
              <w:t xml:space="preserve">（最大风险）</w:t>
            </w:r>
          </w:p>
        </w:tc>
        <w:tc>
          <w:tcPr>
            <w:tcW w:w="2313"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模块五、七的大部分功能依赖在建平台开放云台控制、无人机调度、工单下发、数据查询等接口，接口不到位则功能无法交付</w:t>
            </w:r>
          </w:p>
        </w:tc>
        <w:tc>
          <w:tcPr>
            <w:tcW w:w="289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立项前形成《接口开放清单》，逐项明确协议、范围、开放时间，作为合同附件</w:t>
            </w:r>
          </w:p>
        </w:tc>
        <w:tc>
          <w:tcPr>
            <w:tcW w:w="289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采购人牵头，在建平台承建单位配合</w:t>
            </w:r>
          </w:p>
        </w:tc>
      </w:tr>
      <w:tr>
        <w:tc>
          <w:tcPr>
            <w:tcW w:w="1542"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样本冷启动</w:t>
            </w:r>
          </w:p>
        </w:tc>
        <w:tc>
          <w:tcPr>
            <w:tcW w:w="2313"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垂钓、偷捕样本稀缺，部分点位无补光导致夜间识别失效</w:t>
            </w:r>
          </w:p>
        </w:tc>
        <w:tc>
          <w:tcPr>
            <w:tcW w:w="289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采用迁移学习冷启动＋一线处置结果自动回流标注；先行盘点点位成像条件，补充补光或红外设备，或对该类点位调整识别策略</w:t>
            </w:r>
          </w:p>
        </w:tc>
        <w:tc>
          <w:tcPr>
            <w:tcW w:w="289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承建单位＋各湖区管理机构</w:t>
            </w:r>
          </w:p>
        </w:tc>
      </w:tr>
      <w:tr>
        <w:tc>
          <w:tcPr>
            <w:tcW w:w="1542"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验收指标不可量化</w:t>
            </w:r>
          </w:p>
        </w:tc>
        <w:tc>
          <w:tcPr>
            <w:tcW w:w="2313"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"识别准确""研判智能"等表述无法验收</w:t>
            </w:r>
          </w:p>
        </w:tc>
        <w:tc>
          <w:tcPr>
            <w:tcW w:w="289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逐项设定可测指标，并按试运行期/运行6个月分阶段设定目标值</w:t>
            </w:r>
          </w:p>
        </w:tc>
        <w:tc>
          <w:tcPr>
            <w:tcW w:w="289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采购人与承建单位在合同中约定</w:t>
            </w:r>
          </w:p>
        </w:tc>
      </w:tr>
      <w:tr>
        <w:tc>
          <w:tcPr>
            <w:tcW w:w="1542"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大模型合规部署</w:t>
            </w:r>
          </w:p>
        </w:tc>
        <w:tc>
          <w:tcPr>
            <w:tcW w:w="2313"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标书要求等保三级、全栈信创国产化、密码应用安全性评估</w:t>
            </w:r>
          </w:p>
        </w:tc>
        <w:tc>
          <w:tcPr>
            <w:tcW w:w="289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大模型底座选用国产模型，部署于政务云内网，数据不出域；向量模型同步选用国产方案；建设期同步开展等保测评与密评</w:t>
            </w:r>
          </w:p>
        </w:tc>
        <w:tc>
          <w:tcPr>
            <w:tcW w:w="289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承建单位，采购人组织测评</w:t>
            </w:r>
          </w:p>
        </w:tc>
      </w:tr>
      <w:tr>
        <w:tc>
          <w:tcPr>
            <w:tcW w:w="1542"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运营成本未列支</w:t>
            </w:r>
          </w:p>
        </w:tc>
        <w:tc>
          <w:tcPr>
            <w:tcW w:w="2313"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大模型API调用费属持续性运营成本，不在本次建设采购范围</w:t>
            </w:r>
          </w:p>
        </w:tc>
        <w:tc>
          <w:tcPr>
            <w:tcW w:w="289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在项目运营预算中单独列支；设置调用配额与结果缓存控制成本；优先依托江苏省政务云已有大模型资源</w:t>
            </w:r>
          </w:p>
        </w:tc>
        <w:tc>
          <w:tcPr>
            <w:tcW w:w="289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采购人</w:t>
            </w:r>
          </w:p>
        </w:tc>
      </w:tr>
      <w:tr>
        <w:tc>
          <w:tcPr>
            <w:tcW w:w="1542"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AI责任边界</w:t>
            </w:r>
          </w:p>
        </w:tc>
        <w:tc>
          <w:tcPr>
            <w:tcW w:w="2313"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AI参与执法研判，责任归属需明确</w:t>
            </w:r>
          </w:p>
        </w:tc>
        <w:tc>
          <w:tcPr>
            <w:tcW w:w="289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固化"AI只出建议、人工作决定"原则，全链路留痕并区分责任主体标识；由法制部门书面确认边界</w:t>
            </w:r>
          </w:p>
        </w:tc>
        <w:tc>
          <w:tcPr>
            <w:tcW w:w="289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采购人法制部门</w:t>
            </w:r>
          </w:p>
        </w:tc>
      </w:tr>
      <w:tr>
        <w:tc>
          <w:tcPr>
            <w:tcW w:w="1542"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重复建设质疑</w:t>
            </w:r>
          </w:p>
        </w:tc>
        <w:tc>
          <w:tcPr>
            <w:tcW w:w="2313"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模块六、七、八、十与标书已建内容有交集</w:t>
            </w:r>
          </w:p>
        </w:tc>
        <w:tc>
          <w:tcPr>
            <w:tcW w:w="289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在方案与合同中对67项功能逐条标注"复用/深化/新增"，本报告第四章已完成该标注</w:t>
            </w:r>
          </w:p>
        </w:tc>
        <w:tc>
          <w:tcPr>
            <w:tcW w:w="289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承建单位</w:t>
            </w:r>
          </w:p>
        </w:tc>
      </w:tr>
      <w:tr>
        <w:tc>
          <w:tcPr>
            <w:tcW w:w="1542"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采购程序</w:t>
            </w:r>
          </w:p>
        </w:tc>
        <w:tc>
          <w:tcPr>
            <w:tcW w:w="2313"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本次为原招标采购需求之外的新增事项</w:t>
            </w:r>
          </w:p>
        </w:tc>
        <w:tc>
          <w:tcPr>
            <w:tcW w:w="289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需由采购人会同财政、发展改革部门确认适用的变更或新增采购程序后再行推进；标书明确合同不得转包、未经采购人同意不得分包</w:t>
            </w:r>
          </w:p>
        </w:tc>
        <w:tc>
          <w:tcPr>
            <w:tcW w:w="289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采购人</w:t>
            </w:r>
          </w:p>
        </w:tc>
      </w:tr>
      <w:tr>
        <w:tc>
          <w:tcPr>
            <w:tcW w:w="1542" w:type="dxa"/>
            <w:tcMar>
              <w:top w:w="40" w:type="dxa"/>
              <w:left w:w="70" w:type="dxa"/>
              <w:bottom w:w="40" w:type="dxa"/>
              <w:right w:w="70" w:type="dxa"/>
            </w:tcMar>
            <w:vAlign w:val="top"/>
          </w:tcPr>
          <w:p>
            <w:pPr>
              <w:spacing w:before="20" w:after="20" w:line="264" w:lineRule="auto"/>
            </w:pPr>
            <w:r>
              <w:rPr>
                <w:rFonts w:ascii="Times New Roman" w:hAnsi="Times New Roman" w:eastAsia="宋体"/>
                <w:b/>
                <w:bCs/>
                <w:sz w:val="18"/>
                <w:szCs w:val="18"/>
              </w:rPr>
              <w:t xml:space="preserve">实施周期衔接</w:t>
            </w:r>
          </w:p>
        </w:tc>
        <w:tc>
          <w:tcPr>
            <w:tcW w:w="2313"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在建项目总工期12个日历月，已进入中后期</w:t>
            </w:r>
          </w:p>
        </w:tc>
        <w:tc>
          <w:tcPr>
            <w:tcW w:w="2891"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尽快决策，并与在建项目进度对齐；视频级联通道先行打通，避免"通道等模型"</w:t>
            </w:r>
          </w:p>
        </w:tc>
        <w:tc>
          <w:tcPr>
            <w:tcW w:w="2892" w:type="dxa"/>
            <w:tcMar>
              <w:top w:w="40" w:type="dxa"/>
              <w:left w:w="70" w:type="dxa"/>
              <w:bottom w:w="40" w:type="dxa"/>
              <w:right w:w="70" w:type="dxa"/>
            </w:tcMar>
            <w:vAlign w:val="top"/>
          </w:tcPr>
          <w:p>
            <w:pPr>
              <w:spacing w:before="20" w:after="20" w:line="264" w:lineRule="auto"/>
            </w:pPr>
            <w:r>
              <w:rPr>
                <w:rFonts w:ascii="Times New Roman" w:hAnsi="Times New Roman" w:eastAsia="宋体"/>
                <w:sz w:val="18"/>
                <w:szCs w:val="18"/>
              </w:rPr>
              <w:t xml:space="preserve">采购人</w:t>
            </w:r>
          </w:p>
        </w:tc>
      </w:tr>
    </w:tbl>
    <w:p>
      <w:pPr>
        <w:spacing w:before="0" w:after="60"/>
      </w:pPr>
    </w:p>
    <w:p>
      <w:pPr>
        <w:pBdr>
          <w:bottom w:val="single" w:sz="6" w:space="1" w:color="BFBFBF"/>
        </w:pBdr>
        <w:spacing w:before="160" w:after="160"/>
      </w:pPr>
    </w:p>
    <w:p>
      <w:pPr>
        <w:pStyle w:val="Heading2"/>
        <w:spacing w:before="320" w:after="160" w:line="288" w:lineRule="auto"/>
      </w:pPr>
      <w:r>
        <w:rPr>
          <w:rFonts w:ascii="Arial" w:hAnsi="Arial" w:eastAsia="黑体"/>
          <w:b/>
          <w:bCs/>
          <w:sz w:val="30"/>
          <w:szCs w:val="30"/>
        </w:rPr>
        <w:t xml:space="preserve">七、实施建议</w:t>
      </w:r>
    </w:p>
    <w:p>
      <w:pPr>
        <w:spacing w:before="60" w:after="60" w:line="300" w:lineRule="auto"/>
      </w:pPr>
      <w:r>
        <w:rPr>
          <w:rFonts w:ascii="Times New Roman" w:hAnsi="Times New Roman" w:eastAsia="宋体"/>
          <w:b/>
          <w:bCs/>
          <w:sz w:val="21"/>
          <w:szCs w:val="21"/>
        </w:rPr>
        <w:t xml:space="preserve">建议一：调整建设顺序，把"安全合规底座"前移。</w:t>
      </w:r>
    </w:p>
    <w:p>
      <w:pPr>
        <w:spacing w:before="60" w:after="60" w:line="300" w:lineRule="auto"/>
      </w:pPr>
      <w:r>
        <w:rPr>
          <w:rFonts w:ascii="Times New Roman" w:hAnsi="Times New Roman" w:eastAsia="宋体"/>
          <w:sz w:val="21"/>
          <w:szCs w:val="21"/>
        </w:rPr>
        <w:t xml:space="preserve">V5报告原实施路径以"大模型基座＋知识库＋研判Agent"起步。建议将</w:t>
      </w:r>
      <w:r>
        <w:rPr>
          <w:rFonts w:ascii="Times New Roman" w:hAnsi="Times New Roman" w:eastAsia="宋体"/>
          <w:b/>
          <w:bCs/>
          <w:sz w:val="21"/>
          <w:szCs w:val="21"/>
        </w:rPr>
        <w:t xml:space="preserve">模块九（人机协同与安全合规）</w:t>
      </w:r>
      <w:r>
        <w:rPr>
          <w:rFonts w:ascii="Times New Roman" w:hAnsi="Times New Roman" w:eastAsia="宋体"/>
          <w:sz w:val="21"/>
          <w:szCs w:val="21"/>
        </w:rPr>
        <w:t xml:space="preserve">中的推理链留痕、责任主体标识、人工兜底、全链路审计四项一并放入第一阶段。理由是：这些是AI进入执法环节的准入条件，如果放到最后建，前面所有阶段的试运行成果都可能因不满足审计和责任要求而无法投入实际使用。</w:t>
      </w:r>
    </w:p>
    <w:p>
      <w:pPr>
        <w:spacing w:before="60" w:after="60" w:line="300" w:lineRule="auto"/>
      </w:pPr>
      <w:r>
        <w:rPr>
          <w:rFonts w:ascii="Times New Roman" w:hAnsi="Times New Roman" w:eastAsia="宋体"/>
          <w:b/>
          <w:bCs/>
          <w:sz w:val="21"/>
          <w:szCs w:val="21"/>
        </w:rPr>
        <w:t xml:space="preserve">建议二：把《接口开放清单》作为立项前置条件。</w:t>
      </w:r>
    </w:p>
    <w:p>
      <w:pPr>
        <w:spacing w:before="60" w:after="60" w:line="300" w:lineRule="auto"/>
      </w:pPr>
      <w:r>
        <w:rPr>
          <w:rFonts w:ascii="Times New Roman" w:hAnsi="Times New Roman" w:eastAsia="宋体"/>
          <w:sz w:val="21"/>
          <w:szCs w:val="21"/>
        </w:rPr>
        <w:t xml:space="preserve">模块五、七能否落地完全取决于此。建议在立项文件中附一份清单，逐项列明接口名称、提供方、协议、开放时间，由采购人牵头协调在建平台承建单位确认。</w:t>
      </w:r>
    </w:p>
    <w:p>
      <w:pPr>
        <w:spacing w:before="60" w:after="60" w:line="300" w:lineRule="auto"/>
      </w:pPr>
      <w:r>
        <w:rPr>
          <w:rFonts w:ascii="Times New Roman" w:hAnsi="Times New Roman" w:eastAsia="宋体"/>
          <w:b/>
          <w:bCs/>
          <w:sz w:val="21"/>
          <w:szCs w:val="21"/>
        </w:rPr>
        <w:t xml:space="preserve">建议三：验收指标逐项量化，并分阶段设定。</w:t>
      </w:r>
    </w:p>
    <w:p>
      <w:pPr>
        <w:spacing w:before="60" w:after="60" w:line="300" w:lineRule="auto"/>
      </w:pPr>
      <w:r>
        <w:rPr>
          <w:rFonts w:ascii="Times New Roman" w:hAnsi="Times New Roman" w:eastAsia="宋体"/>
          <w:sz w:val="21"/>
          <w:szCs w:val="21"/>
        </w:rPr>
        <w:t xml:space="preserve">避免"智能化""准确"等无法验收的表述。重点是三类指标：视频识别的查准率查全率（分阶段）、研判环节的平均耗时（从天级到分钟级）、AI建议采纳率（衡量AI实际水平的最直接指标）。</w:t>
      </w:r>
    </w:p>
    <w:p>
      <w:pPr>
        <w:spacing w:before="60" w:after="60" w:line="300" w:lineRule="auto"/>
      </w:pPr>
      <w:r>
        <w:rPr>
          <w:rFonts w:ascii="Times New Roman" w:hAnsi="Times New Roman" w:eastAsia="宋体"/>
          <w:b/>
          <w:bCs/>
          <w:sz w:val="21"/>
          <w:szCs w:val="21"/>
        </w:rPr>
        <w:t xml:space="preserve">建议四：大模型API费用在运营预算中单独列支。</w:t>
      </w:r>
    </w:p>
    <w:p>
      <w:pPr>
        <w:spacing w:before="60" w:after="60" w:line="300" w:lineRule="auto"/>
      </w:pPr>
      <w:r>
        <w:rPr>
          <w:rFonts w:ascii="Times New Roman" w:hAnsi="Times New Roman" w:eastAsia="宋体"/>
          <w:sz w:val="21"/>
          <w:szCs w:val="21"/>
        </w:rPr>
        <w:t xml:space="preserve">按V5报告测算，正常运营约9000元/月，满负荷约3.6万元/月。若能依托江苏省政务云已有大模型资源，该费用可由政务云统一承担，本项目无需另行采购。</w:t>
      </w:r>
    </w:p>
    <w:p>
      <w:pPr>
        <w:spacing w:before="60" w:after="60" w:line="300" w:lineRule="auto"/>
      </w:pPr>
      <w:r>
        <w:rPr>
          <w:rFonts w:ascii="Times New Roman" w:hAnsi="Times New Roman" w:eastAsia="宋体"/>
          <w:b/>
          <w:bCs/>
          <w:sz w:val="21"/>
          <w:szCs w:val="21"/>
        </w:rPr>
        <w:t xml:space="preserve">建议五：方案报送时附"复用/深化/新增"对照表。</w:t>
      </w:r>
    </w:p>
    <w:p>
      <w:pPr>
        <w:spacing w:before="60" w:after="60" w:line="300" w:lineRule="auto"/>
      </w:pPr>
      <w:r>
        <w:rPr>
          <w:rFonts w:ascii="Times New Roman" w:hAnsi="Times New Roman" w:eastAsia="宋体"/>
          <w:sz w:val="21"/>
          <w:szCs w:val="21"/>
        </w:rPr>
        <w:t xml:space="preserve">本报告第四章已对67项功能逐条标注。建议将第五章汇总表和各模块的"与标书关系"栏一并纳入报送材料，主动说明与在建平台的边界，是应对重复建设质疑最有效的方式。</w:t>
      </w:r>
    </w:p>
    <w:p>
      <w:pPr>
        <w:pBdr>
          <w:bottom w:val="single" w:sz="6" w:space="1" w:color="BFBFBF"/>
        </w:pBdr>
        <w:spacing w:before="160" w:after="160"/>
      </w:pPr>
    </w:p>
    <w:p>
      <w:pPr>
        <w:spacing w:before="60" w:after="60" w:line="300" w:lineRule="auto"/>
      </w:pPr>
      <w:r>
        <w:rPr>
          <w:rFonts w:ascii="Times New Roman" w:hAnsi="Times New Roman" w:eastAsia="宋体"/>
          <w:i/>
          <w:sz w:val="21"/>
          <w:szCs w:val="21"/>
        </w:rPr>
        <w:t xml:space="preserve">本文档依据《长江流域重点水域禁捕执法装备设施建设项目（综合管理平台和电子围栏）招标文件·第四章 采购需求》与《AI智能体新增事项可行性分析报告V5》逐条比对编制。</w:t>
      </w:r>
    </w:p>
    <w:sectPr>
      <w:pgSz w:w="11906" w:h="16838"/>
      <w:pgMar w:top="1247" w:right="1134" w:bottom="1247" w:left="1134" w:header="851" w:footer="992" w:gutter="0"/>
    </w:sectPr>
  </w:body>
</w:document>
</file>

<file path=word/styles.xml><?xml version="1.0" encoding="utf-8"?>
<w:styles xmlns:w="http://schemas.openxmlformats.org/wordprocessingml/2006/main">
  <w:docDefaults>
    <w:rPrDefault>
      <w:rPr>
        <w:rFonts w:ascii="Times New Roman" w:hAnsi="Times New Roman" w:eastAsia="宋体" w:cs="Times New Roman"/>
        <w:sz w:val="21"/>
        <w:szCs w:val="21"/>
        <w:lang w:val="en-US" w:eastAsia="zh-CN"/>
      </w:rPr>
    </w:rPrDefault>
    <w:pPrDefault>
      <w:pPr>
        <w:spacing w:line="300" w:lineRule="auto"/>
      </w:pPr>
    </w:pPrDefault>
  </w:docDefaults>
  <w:style w:type="paragraph" w:default="1" w:styleId="Normal">
    <w:name w:val="Normal"/>
    <w:qFormat/>
  </w:style>
  <w:style w:type="paragraph" w:styleId="Heading1">
    <w:name w:val="heading 1"/>
    <w:basedOn w:val="Normal"/>
    <w:next w:val="Normal"/>
    <w:qFormat/>
    <w:pPr>
      <w:keepNext/>
      <w:outlineLvl w:val="0"/>
    </w:pPr>
    <w:rPr>
      <w:rFonts w:ascii="Arial" w:hAnsi="Arial" w:eastAsia="黑体"/>
      <w:b/>
      <w:sz w:val="44"/>
      <w:szCs w:val="44"/>
    </w:rPr>
  </w:style>
  <w:style w:type="paragraph" w:styleId="Heading2">
    <w:name w:val="heading 2"/>
    <w:basedOn w:val="Normal"/>
    <w:next w:val="Normal"/>
    <w:qFormat/>
    <w:pPr>
      <w:keepNext/>
      <w:outlineLvl w:val="1"/>
    </w:pPr>
    <w:rPr>
      <w:rFonts w:ascii="Arial" w:hAnsi="Arial" w:eastAsia="黑体"/>
      <w:b/>
      <w:sz w:val="30"/>
      <w:szCs w:val="30"/>
    </w:rPr>
  </w:style>
  <w:style w:type="paragraph" w:styleId="Heading3">
    <w:name w:val="heading 3"/>
    <w:basedOn w:val="Normal"/>
    <w:next w:val="Normal"/>
    <w:qFormat/>
    <w:pPr>
      <w:keepNext/>
      <w:outlineLvl w:val="2"/>
    </w:pPr>
    <w:rPr>
      <w:rFonts w:ascii="Arial" w:hAnsi="Arial" w:eastAsia="黑体"/>
      <w:b/>
      <w:sz w:val="25"/>
      <w:szCs w:val="25"/>
    </w:rPr>
  </w:style>
  <w:style w:type="paragraph" w:styleId="Heading4">
    <w:name w:val="heading 4"/>
    <w:basedOn w:val="Normal"/>
    <w:next w:val="Normal"/>
    <w:qFormat/>
    <w:pPr>
      <w:keepNext/>
      <w:outlineLvl w:val="3"/>
    </w:pPr>
    <w:rPr>
      <w:rFonts w:ascii="Arial" w:hAnsi="Arial" w:eastAsia="黑体"/>
      <w:b/>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