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2026 年第三季度工作总结</w:t>
      </w:r>
    </w:p>
    <w:p>
      <w:pPr>
        <w:spacing w:after="240"/>
        <w:jc w:val="center"/>
      </w:pPr>
      <w:r>
        <w:rPr>
          <w:rFonts w:ascii="Calibri" w:cs="Calibri" w:eastAsia="微软雅黑" w:hAnsi="Calibri"/>
          <w:color w:val="2D8B8B"/>
          <w:sz w:val="26"/>
          <w:szCs w:val="26"/>
        </w:rPr>
        <w:t xml:space="preserve">市场部</w:t>
      </w:r>
    </w:p>
    <w:p>
      <w:pPr>
        <w:spacing w:after="240"/>
        <w:jc w:val="center"/>
      </w:pPr>
      <w:r>
        <w:rPr>
          <w:rFonts w:ascii="Calibri" w:cs="Calibri" w:eastAsia="微软雅黑" w:hAnsi="Calibri"/>
          <w:b/>
          <w:bCs/>
          <w:color w:val="1A2332"/>
          <w:sz w:val="36"/>
          <w:szCs w:val="36"/>
        </w:rPr>
        <w:t xml:space="preserve">目　录</w:t>
      </w:r>
    </w:p>
    <w:sdt>
      <w:sdtPr>
        <w:alias w:val="目录"/>
      </w:sdtPr>
      <w:sdtContent>
        <w:p>
          <w:pPr>
            <w:pStyle w:val="TOC1"/>
            <w:tabs>
              <w:tab w:val="right" w:pos="830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一、基本情况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2">
            <w:r>
              <w:t xml:space="preserve">二、主要成绩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3">
            <w:r>
              <w:t xml:space="preserve">三、存在问题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4">
            <w:r>
              <w:t xml:space="preserve">四、第四季度工作计划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5">
            <w:r>
              <w:t xml:space="preserve">五、需要协调的事项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440" w:right="1803" w:bottom="1440" w:left="1803" w:header="850" w:footer="850" w:gutter="0"/>
          <w:pgNumType/>
          <w:titlePg w:val="false"/>
          <w:docGrid w:linePitch="360"/>
        </w:sectPr>
      </w:pPr>
      <w:r>
        <w:br w:type="page"/>
      </w:r>
    </w:p>
    <w:p>
      <w:pPr>
        <w:pStyle w:val="Heading1"/>
      </w:pPr>
      <w:bookmarkStart w:name="_Toc1" w:id="1"/>
      <w:r>
        <w:t xml:space="preserve">一、基本情况</w:t>
      </w:r>
      <w:bookmarkEnd w:id="1"/>
    </w:p>
    <w:p>
      <w:pPr>
        <w:ind w:firstLine="480" w:firstLineChars="200"/>
        <w:jc w:val="both"/>
      </w:pPr>
      <w:r>
        <w:t xml:space="preserve">第三季度（7 月 1 日—9 月 30 日），市场部围绕“稳存量、拓增量”的年度目标，完成销售额 </w:t>
      </w:r>
      <w:r>
        <w:rPr>
          <w:b/>
          <w:bCs/>
        </w:rPr>
        <w:t xml:space="preserve">1,236 万元</w:t>
      </w:r>
      <w:r>
        <w:t xml:space="preserve">，同比增长 </w:t>
      </w:r>
      <w:r>
        <w:rPr>
          <w:i/>
          <w:iCs/>
        </w:rPr>
        <w:t xml:space="preserve">18.4%</w:t>
      </w:r>
      <w:r>
        <w:t xml:space="preserve">，达成季度目标的 103%。新签客户 35 家，客户续约率 92%。</w:t>
      </w:r>
    </w:p>
    <w:p>
      <w:pPr>
        <w:pStyle w:val="Heading1"/>
      </w:pPr>
      <w:bookmarkStart w:name="_Toc2" w:id="2"/>
      <w:r>
        <w:t xml:space="preserve">二、主要成绩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t xml:space="preserve">销售业绩稳步增长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华东区域完成 612 万元，同比增长 21%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华南区域完成 418 万元，同比增长 15%</w:t>
      </w:r>
    </w:p>
    <w:p>
      <w:pPr>
        <w:pStyle w:val="ListParagraph"/>
        <w:numPr>
          <w:ilvl w:val="2"/>
          <w:numId w:val="3"/>
        </w:numPr>
        <w:spacing w:after="60"/>
      </w:pPr>
      <w:r>
        <w:t xml:space="preserve">其中深圳办事处 256 万元，首次单季突破 250 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重点客户拓展取得突破：签约 3 家年框客户，合同总额 380 万元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渠道建设：新增区域代理 6 家，覆盖 4 个新城市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7"/>
        <w:gridCol w:w="1976"/>
        <w:gridCol w:w="1976"/>
        <w:gridCol w:w="1581"/>
      </w:tblGrid>
      <w:tr>
        <w:trPr>
          <w:cantSplit/>
          <w:tblHeader/>
        </w:trPr>
        <w:tc>
          <w:tcPr>
            <w:tcW w:type="dxa" w:w="276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季度目标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实际完成</w:t>
            </w:r>
          </w:p>
        </w:tc>
        <w:tc>
          <w:tcPr>
            <w:tcW w:type="dxa" w:w="15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完成率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销售额（万元）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1,200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1,236</w:t>
            </w:r>
          </w:p>
        </w:tc>
        <w:tc>
          <w:tcPr>
            <w:tcW w:type="dxa" w:w="15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103%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新签客户（家）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30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35</w:t>
            </w:r>
          </w:p>
        </w:tc>
        <w:tc>
          <w:tcPr>
            <w:tcW w:type="dxa" w:w="15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117%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客户续约率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90%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92%</w:t>
            </w:r>
          </w:p>
        </w:tc>
        <w:tc>
          <w:tcPr>
            <w:tcW w:type="dxa" w:w="15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102%</w:t>
            </w:r>
          </w:p>
        </w:tc>
      </w:tr>
      <w:tr>
        <w:trPr>
          <w:cantSplit/>
        </w:trPr>
        <w:tc>
          <w:tcPr>
            <w:tcW w:type="dxa" w:w="276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回款额（万元）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1,100</w:t>
            </w:r>
          </w:p>
        </w:tc>
        <w:tc>
          <w:tcPr>
            <w:tcW w:type="dxa" w:w="19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986</w:t>
            </w:r>
          </w:p>
        </w:tc>
        <w:tc>
          <w:tcPr>
            <w:tcW w:type="dxa" w:w="15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90%</w:t>
            </w:r>
          </w:p>
        </w:tc>
      </w:tr>
    </w:tbl>
    <w:p>
      <w:pPr>
        <w:spacing w:after="120"/>
      </w:pPr>
    </w:p>
    <w:p>
      <w:pPr>
        <w:pBdr>
          <w:left w:val="single" w:color="2D8B8B" w:sz="18" w:space="8"/>
        </w:pBdr>
        <w:shd w:fill="DCEFEF" w:color="auto" w:val="clear"/>
        <w:spacing w:after="60" w:before="60"/>
        <w:ind w:left="360"/>
      </w:pPr>
      <w:r>
        <w:rPr>
          <w:color w:val="404040"/>
        </w:rPr>
        <w:t xml:space="preserve">数据来源：财务系统 9 月 30 日结账数据。</w:t>
      </w:r>
    </w:p>
    <w:p>
      <w:pPr>
        <w:pStyle w:val="Heading1"/>
      </w:pPr>
      <w:bookmarkStart w:name="_Toc3" w:id="3"/>
      <w:r>
        <w:t xml:space="preserve">三、存在问题</w:t>
      </w:r>
      <w:bookmarkEnd w:id="3"/>
    </w:p>
    <w:p>
      <w:pPr>
        <w:pStyle w:val="ListParagraph"/>
        <w:numPr>
          <w:ilvl w:val="0"/>
          <w:numId w:val="3"/>
        </w:numPr>
        <w:spacing w:after="60"/>
      </w:pPr>
      <w:r>
        <w:t xml:space="preserve">回款周期偏长：平均回款天数 68 天，比上季度增加 9 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新产品线推广慢：智能终端系列只完成目标的 64%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人员流动：一线销售离职 3 人，新人培养周期约 2 个月</w:t>
      </w:r>
    </w:p>
    <w:p>
      <w:pPr>
        <w:pStyle w:val="Heading1"/>
      </w:pPr>
      <w:bookmarkStart w:name="_Toc4" w:id="4"/>
      <w:r>
        <w:t xml:space="preserve">四、第四季度工作计划</w:t>
      </w:r>
      <w:bookmarkEnd w:id="4"/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3261"/>
        <w:gridCol w:w="1630"/>
        <w:gridCol w:w="1630"/>
      </w:tblGrid>
      <w:tr>
        <w:trPr>
          <w:cantSplit/>
          <w:tblHeader/>
        </w:trPr>
        <w:tc>
          <w:tcPr>
            <w:tcW w:type="dxa" w:w="1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工作事项</w:t>
            </w:r>
          </w:p>
        </w:tc>
        <w:tc>
          <w:tcPr>
            <w:tcW w:type="dxa" w:w="32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负责人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完成时间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回款专项清收</w:t>
            </w:r>
          </w:p>
        </w:tc>
        <w:tc>
          <w:tcPr>
            <w:tcW w:type="dxa" w:w="32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平均回款天数降到 55 天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财务部 王敏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12 月 15 日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智能终端推广</w:t>
            </w:r>
          </w:p>
        </w:tc>
        <w:tc>
          <w:tcPr>
            <w:tcW w:type="dxa" w:w="32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完成 300 万元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产品部 李强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12 月 31 日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新人带教计划</w:t>
            </w:r>
          </w:p>
        </w:tc>
        <w:tc>
          <w:tcPr>
            <w:tcW w:type="dxa" w:w="32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新人 1 个月内独立跟单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人力部 赵琳</w:t>
            </w:r>
          </w:p>
        </w:tc>
        <w:tc>
          <w:tcPr>
            <w:tcW w:type="dxa" w:w="16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11 月 30 日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t xml:space="preserve">五、需要协调的事项</w:t>
      </w:r>
      <w:bookmarkEnd w:id="5"/>
    </w:p>
    <w:p>
      <w:pPr>
        <w:pStyle w:val="ListParagraph"/>
        <w:numPr>
          <w:ilvl w:val="0"/>
          <w:numId w:val="4"/>
        </w:numPr>
        <w:spacing w:after="60"/>
      </w:pPr>
      <w:r>
        <w:t xml:space="preserve">申请增加华南区域销售编制 2 人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建议财务部每周同步一次应收账款明细</w:t>
      </w:r>
    </w:p>
    <w:sectPr>
      <w:headerReference w:type="default" r:id="rId7"/>
      <w:footerReference w:type="default" r:id="rId8"/>
      <w:pgSz w:w="11906" w:h="16838" w:orient="portrait"/>
      <w:pgMar w:top="1440" w:right="1803" w:bottom="1440" w:left="1803" w:header="850" w:footer="85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微软雅黑" w:hAnsi="Calibri"/>
        <w:color w:val="7F7F7F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FEF" w:sz="4" w:space="4"/>
      </w:pBdr>
      <w:jc w:val="right"/>
    </w:pPr>
    <w:r>
      <w:rPr>
        <w:rFonts w:ascii="Calibri" w:cs="Calibri" w:eastAsia="微软雅黑" w:hAnsi="Calibri"/>
        <w:color w:val="7F7F7F"/>
        <w:sz w:val="18"/>
        <w:szCs w:val="18"/>
      </w:rPr>
      <w:t xml:space="preserve">2026 年第三季度工作总结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suff w:val="tab"/>
      <w:lvlText w:val="●"/>
      <w:lvlJc w:val="left"/>
      <w:pPr>
        <w:ind w:left="420" w:hanging="420"/>
      </w:pPr>
      <w:rPr>
        <w:rFonts w:ascii="Arial" w:eastAsia="宋体" w:hAnsi="Arial"/>
        <w:color w:val="2D8B8B"/>
        <w:sz w:val="17"/>
        <w:szCs w:val="17"/>
      </w:rPr>
    </w:lvl>
    <w:lvl w:ilvl="1" w:tentative="1">
      <w:start w:val="1"/>
      <w:numFmt w:val="bullet"/>
      <w:suff w:val="tab"/>
      <w:lvlText w:val="○"/>
      <w:lvlJc w:val="left"/>
      <w:pPr>
        <w:ind w:left="840" w:hanging="420"/>
      </w:pPr>
      <w:rPr>
        <w:rFonts w:ascii="Arial" w:eastAsia="宋体" w:hAnsi="Arial"/>
        <w:color w:val="2D8B8B"/>
        <w:sz w:val="19"/>
        <w:szCs w:val="19"/>
      </w:rPr>
    </w:lvl>
    <w:lvl w:ilvl="2" w:tentative="1">
      <w:start w:val="1"/>
      <w:numFmt w:val="bullet"/>
      <w:suff w:val="tab"/>
      <w:lvlText w:val="■"/>
      <w:lvlJc w:val="left"/>
      <w:pPr>
        <w:ind w:left="1260" w:hanging="420"/>
      </w:pPr>
      <w:rPr>
        <w:rFonts w:ascii="Arial" w:eastAsia="宋体" w:hAnsi="Arial"/>
        <w:color w:val="2D8B8B"/>
        <w:sz w:val="19"/>
        <w:szCs w:val="19"/>
      </w:rPr>
    </w:lvl>
    <w:lvl w:ilvl="3" w:tentative="1">
      <w:start w:val="1"/>
      <w:numFmt w:val="bullet"/>
      <w:suff w:val="tab"/>
      <w:lvlText w:val="●"/>
      <w:lvlJc w:val="left"/>
      <w:pPr>
        <w:ind w:left="1680" w:hanging="420"/>
      </w:pPr>
      <w:rPr>
        <w:rFonts w:ascii="Arial" w:eastAsia="宋体" w:hAnsi="Arial"/>
        <w:color w:val="2D8B8B"/>
        <w:sz w:val="17"/>
        <w:szCs w:val="17"/>
      </w:rPr>
    </w:lvl>
    <w:lvl w:ilvl="4" w:tentative="1">
      <w:start w:val="1"/>
      <w:numFmt w:val="bullet"/>
      <w:suff w:val="tab"/>
      <w:lvlText w:val="○"/>
      <w:lvlJc w:val="left"/>
      <w:pPr>
        <w:ind w:left="2100" w:hanging="420"/>
      </w:pPr>
      <w:rPr>
        <w:rFonts w:ascii="Arial" w:eastAsia="宋体" w:hAnsi="Arial"/>
        <w:color w:val="2D8B8B"/>
        <w:sz w:val="19"/>
        <w:szCs w:val="19"/>
      </w:rPr>
    </w:lvl>
    <w:lvl w:ilvl="5" w:tentative="1">
      <w:start w:val="1"/>
      <w:numFmt w:val="bullet"/>
      <w:suff w:val="tab"/>
      <w:lvlText w:val="■"/>
      <w:lvlJc w:val="left"/>
      <w:pPr>
        <w:ind w:left="2520" w:hanging="420"/>
      </w:pPr>
      <w:rPr>
        <w:rFonts w:ascii="Arial" w:eastAsia="宋体" w:hAnsi="Arial"/>
        <w:color w:val="2D8B8B"/>
        <w:sz w:val="19"/>
        <w:szCs w:val="19"/>
      </w:rPr>
    </w:lvl>
    <w:lvl w:ilvl="6" w:tentative="1">
      <w:start w:val="1"/>
      <w:numFmt w:val="bullet"/>
      <w:suff w:val="tab"/>
      <w:lvlText w:val="●"/>
      <w:lvlJc w:val="left"/>
      <w:pPr>
        <w:ind w:left="2940" w:hanging="420"/>
      </w:pPr>
      <w:rPr>
        <w:rFonts w:ascii="Arial" w:eastAsia="宋体" w:hAnsi="Arial"/>
        <w:color w:val="2D8B8B"/>
        <w:sz w:val="17"/>
        <w:szCs w:val="17"/>
      </w:rPr>
    </w:lvl>
    <w:lvl w:ilvl="7" w:tentative="1">
      <w:start w:val="1"/>
      <w:numFmt w:val="bullet"/>
      <w:suff w:val="tab"/>
      <w:lvlText w:val="○"/>
      <w:lvlJc w:val="left"/>
      <w:pPr>
        <w:ind w:left="3360" w:hanging="420"/>
      </w:pPr>
      <w:rPr>
        <w:rFonts w:ascii="Arial" w:eastAsia="宋体" w:hAnsi="Arial"/>
        <w:color w:val="2D8B8B"/>
        <w:sz w:val="19"/>
        <w:szCs w:val="19"/>
      </w:rPr>
    </w:lvl>
    <w:lvl w:ilvl="8" w:tentative="1">
      <w:start w:val="1"/>
      <w:numFmt w:val="bullet"/>
      <w:suff w:val="tab"/>
      <w:lvlText w:val="■"/>
      <w:lvlJc w:val="left"/>
      <w:pPr>
        <w:ind w:left="3780" w:hanging="420"/>
      </w:pPr>
      <w:rPr>
        <w:rFonts w:ascii="Arial" w:eastAsia="宋体" w:hAnsi="Arial"/>
        <w:color w:val="2D8B8B"/>
        <w:sz w:val="19"/>
        <w:szCs w:val="1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suff w:val="tab"/>
      <w:lvlText w:val="%1."/>
      <w:lvlJc w:val="left"/>
      <w:pPr>
        <w:ind w:left="420" w:hanging="420"/>
      </w:pPr>
    </w:lvl>
    <w:lvl w:ilvl="1" w:tentative="1">
      <w:start w:val="1"/>
      <w:numFmt w:val="decimal"/>
      <w:suff w:val="tab"/>
      <w:lvlText w:val="(%2)"/>
      <w:lvlJc w:val="left"/>
      <w:pPr>
        <w:ind w:left="840" w:hanging="420"/>
      </w:pPr>
    </w:lvl>
    <w:lvl w:ilvl="2" w:tentative="1">
      <w:start w:val="1"/>
      <w:numFmt w:val="decimalEnclosedCircle"/>
      <w:suff w:val="tab"/>
      <w:lvlText w:val="%3"/>
      <w:lvlJc w:val="left"/>
      <w:pPr>
        <w:ind w:left="1260" w:hanging="420"/>
      </w:pPr>
    </w:lvl>
    <w:lvl w:ilvl="3" w:tentative="1">
      <w:start w:val="1"/>
      <w:numFmt w:val="lowerLetter"/>
      <w:suff w:val="tab"/>
      <w:lvlText w:val="%4."/>
      <w:lvlJc w:val="left"/>
      <w:pPr>
        <w:ind w:left="1680" w:hanging="420"/>
      </w:pPr>
    </w:lvl>
    <w:lvl w:ilvl="4" w:tentative="1">
      <w:start w:val="1"/>
      <w:numFmt w:val="lowerRoman"/>
      <w:suff w:val="tab"/>
      <w:lvlText w:val="%5."/>
      <w:lvlJc w:val="left"/>
      <w:pPr>
        <w:ind w:left="2100" w:hanging="420"/>
      </w:pPr>
    </w:lvl>
    <w:lvl w:ilvl="5" w:tentative="1">
      <w:start w:val="1"/>
      <w:numFmt w:val="decimal"/>
      <w:suff w:val="tab"/>
      <w:lvlText w:val="%6."/>
      <w:lvlJc w:val="left"/>
      <w:pPr>
        <w:ind w:left="2520" w:hanging="420"/>
      </w:pPr>
    </w:lvl>
    <w:lvl w:ilvl="6" w:tentative="1">
      <w:start w:val="1"/>
      <w:numFmt w:val="decimal"/>
      <w:suff w:val="tab"/>
      <w:lvlText w:val="%7."/>
      <w:lvlJc w:val="left"/>
      <w:pPr>
        <w:ind w:left="2940" w:hanging="420"/>
      </w:pPr>
    </w:lvl>
    <w:lvl w:ilvl="7" w:tentative="1">
      <w:start w:val="1"/>
      <w:numFmt w:val="decimal"/>
      <w:suff w:val="tab"/>
      <w:lvlText w:val="%8."/>
      <w:lvlJc w:val="left"/>
      <w:pPr>
        <w:ind w:left="3360" w:hanging="420"/>
      </w:pPr>
    </w:lvl>
    <w:lvl w:ilvl="8" w:tentative="1">
      <w:start w:val="1"/>
      <w:numFmt w:val="decimal"/>
      <w:suff w:val="tab"/>
      <w:lvlText w:val="%9."/>
      <w:lvlJc w:val="left"/>
      <w:pPr>
        <w:ind w:left="378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color w:val="1F2328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360" w:before="0" w:line="300" w:lineRule="auto"/>
      <w:jc w:val="center"/>
    </w:pPr>
    <w:rPr>
      <w:rFonts w:ascii="Calibri" w:cs="Calibri" w:eastAsia="微软雅黑" w:hAnsi="Calibri"/>
      <w:b/>
      <w:bCs/>
      <w:color w:val="1A2332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80" w:before="360" w:line="300" w:lineRule="auto"/>
      <w:outlineLvl w:val="0"/>
    </w:pPr>
    <w:rPr>
      <w:rFonts w:ascii="Calibri" w:cs="Calibri" w:eastAsia="微软雅黑" w:hAnsi="Calibri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00" w:lineRule="auto"/>
      <w:outlineLvl w:val="1"/>
    </w:pPr>
    <w:rPr>
      <w:rFonts w:ascii="Calibri" w:cs="Calibri" w:eastAsia="微软雅黑" w:hAnsi="Calibri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 w:line="300" w:lineRule="auto"/>
      <w:outlineLvl w:val="2"/>
    </w:pPr>
    <w:rPr>
      <w:rFonts w:ascii="Calibri" w:cs="Calibri" w:eastAsia="微软雅黑" w:hAnsi="Calibri"/>
      <w:b/>
      <w:bCs/>
      <w:color w:val="2D8B8B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20" w:line="300" w:lineRule="auto"/>
      <w:outlineLvl w:val="3"/>
    </w:pPr>
    <w:rPr>
      <w:rFonts w:ascii="Calibri" w:cs="Calibri" w:eastAsia="微软雅黑" w:hAnsi="Calibri"/>
      <w:b/>
      <w:bCs/>
      <w:color w:val="1A2332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60" w:before="120" w:line="300" w:lineRule="auto"/>
      <w:outlineLvl w:val="4"/>
    </w:pPr>
    <w:rPr>
      <w:rFonts w:ascii="Calibri" w:cs="Calibri" w:eastAsia="微软雅黑" w:hAnsi="Calibri"/>
      <w:b w:val="false"/>
      <w:bCs w:val="false"/>
      <w:color w:val="1A2332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60" w:before="120" w:line="300" w:lineRule="auto"/>
      <w:outlineLvl w:val="5"/>
    </w:pPr>
    <w:rPr>
      <w:rFonts w:ascii="Calibri" w:cs="Calibri" w:eastAsia="微软雅黑" w:hAnsi="Calibri"/>
      <w:b w:val="false"/>
      <w:bCs w:val="false"/>
      <w:color w:val="1A2332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年第三季度工作总结</dc:title>
  <dc:creator>贾维斯</dc:creator>
  <dc:description>市场部</dc:description>
  <cp:lastModifiedBy>Un-named</cp:lastModifiedBy>
  <cp:revision>1</cp:revision>
  <dcterms:created xsi:type="dcterms:W3CDTF">2026-10-14T09:20:59.524Z</dcterms:created>
  <dcterms:modified xsi:type="dcterms:W3CDTF">2026-10-14T09:20:59.525Z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