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before="240" w:after="200" w:line="288" w:lineRule="auto"/>
        <w:jc w:val="center"/>
      </w:pPr>
      <w:r>
        <w:rPr>
          <w:rFonts w:ascii="Arial" w:hAnsi="Arial" w:eastAsia="黑体"/>
          <w:b/>
          <w:bCs/>
          <w:sz w:val="44"/>
          <w:szCs w:val="44"/>
        </w:rPr>
        <w:t xml:space="preserve">长江流域重点水域禁捕执法装备设施建设项目</w:t>
      </w:r>
    </w:p>
    <w:p>
      <w:pPr>
        <w:pStyle w:val="Heading1"/>
        <w:spacing w:before="240" w:after="200" w:line="288" w:lineRule="auto"/>
        <w:jc w:val="center"/>
      </w:pPr>
      <w:r>
        <w:rPr>
          <w:rFonts w:ascii="Arial" w:hAnsi="Arial" w:eastAsia="黑体"/>
          <w:b/>
          <w:bCs/>
          <w:sz w:val="44"/>
          <w:szCs w:val="44"/>
        </w:rPr>
        <w:t xml:space="preserve">智能化能力提升（AI智能体）项目建议书</w:t>
      </w:r>
    </w:p>
    <w:p>
      <w:pPr>
        <w:spacing w:before="60" w:after="60" w:line="300" w:lineRule="auto"/>
      </w:pPr>
      <w:r>
        <w:rPr>
          <w:rFonts w:ascii="Times New Roman" w:hAnsi="Times New Roman" w:eastAsia="宋体"/>
          <w:b/>
          <w:bCs/>
          <w:sz w:val="21"/>
          <w:szCs w:val="21"/>
        </w:rPr>
        <w:t xml:space="preserve">项目单位：</w:t>
      </w:r>
      <w:r>
        <w:rPr>
          <w:rFonts w:ascii="Times New Roman" w:hAnsi="Times New Roman" w:eastAsia="宋体"/>
          <w:sz w:val="21"/>
          <w:szCs w:val="21"/>
        </w:rPr>
        <w:t xml:space="preserve"> 江苏省渔业执法监督中心</w:t>
      </w:r>
    </w:p>
    <w:p>
      <w:pPr>
        <w:spacing w:before="60" w:after="60" w:line="300" w:lineRule="auto"/>
      </w:pPr>
      <w:r>
        <w:rPr>
          <w:rFonts w:ascii="Times New Roman" w:hAnsi="Times New Roman" w:eastAsia="宋体"/>
          <w:b/>
          <w:bCs/>
          <w:sz w:val="21"/>
          <w:szCs w:val="21"/>
        </w:rPr>
        <w:t xml:space="preserve">编制单位：</w:t>
      </w:r>
      <w:r>
        <w:rPr>
          <w:rFonts w:ascii="Times New Roman" w:hAnsi="Times New Roman" w:eastAsia="宋体"/>
          <w:sz w:val="21"/>
          <w:szCs w:val="21"/>
        </w:rPr>
        <w:t xml:space="preserve"> 江苏省渔业执法监督中心</w:t>
      </w:r>
    </w:p>
    <w:p>
      <w:pPr>
        <w:spacing w:before="60" w:after="60" w:line="300" w:lineRule="auto"/>
      </w:pPr>
      <w:r>
        <w:rPr>
          <w:rFonts w:ascii="Times New Roman" w:hAnsi="Times New Roman" w:eastAsia="宋体"/>
          <w:b/>
          <w:bCs/>
          <w:sz w:val="21"/>
          <w:szCs w:val="21"/>
        </w:rPr>
        <w:t xml:space="preserve">编制日期：</w:t>
      </w:r>
      <w:r>
        <w:rPr>
          <w:rFonts w:ascii="Times New Roman" w:hAnsi="Times New Roman" w:eastAsia="宋体"/>
          <w:sz w:val="21"/>
          <w:szCs w:val="21"/>
        </w:rPr>
        <w:t xml:space="preserve"> 2026年9月</w:t>
      </w:r>
    </w:p>
    <w:p>
      <w:pPr>
        <w:spacing w:before="60" w:after="60" w:line="300" w:lineRule="auto"/>
      </w:pPr>
      <w:r>
        <w:rPr>
          <w:rFonts w:ascii="Times New Roman" w:hAnsi="Times New Roman" w:eastAsia="宋体"/>
          <w:b/>
          <w:bCs/>
          <w:sz w:val="21"/>
          <w:szCs w:val="21"/>
        </w:rPr>
        <w:t xml:space="preserve">版本号：</w:t>
      </w:r>
      <w:r>
        <w:rPr>
          <w:rFonts w:ascii="Times New Roman" w:hAnsi="Times New Roman" w:eastAsia="宋体"/>
          <w:sz w:val="21"/>
          <w:szCs w:val="21"/>
        </w:rPr>
        <w:t xml:space="preserve"> V3.0</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一、项目概况</w:t>
      </w:r>
    </w:p>
    <w:p>
      <w:pPr>
        <w:pStyle w:val="Heading3"/>
        <w:spacing w:before="280" w:after="140" w:line="288" w:lineRule="auto"/>
      </w:pPr>
      <w:r>
        <w:rPr>
          <w:rFonts w:ascii="Arial" w:hAnsi="Arial" w:eastAsia="黑体"/>
          <w:b/>
          <w:bCs/>
          <w:sz w:val="25"/>
          <w:szCs w:val="25"/>
        </w:rPr>
        <w:t xml:space="preserve">（一）项目名称</w:t>
      </w:r>
    </w:p>
    <w:p>
      <w:pPr>
        <w:spacing w:before="60" w:after="60" w:line="300" w:lineRule="auto"/>
      </w:pPr>
      <w:r>
        <w:rPr>
          <w:rFonts w:ascii="Times New Roman" w:hAnsi="Times New Roman" w:eastAsia="宋体"/>
          <w:sz w:val="21"/>
          <w:szCs w:val="21"/>
        </w:rPr>
        <w:t xml:space="preserve">长江流域重点水域禁捕执法装备设施建设项目智能化能力提升（AI智能体）</w:t>
      </w:r>
    </w:p>
    <w:p>
      <w:pPr>
        <w:pStyle w:val="Heading3"/>
        <w:spacing w:before="280" w:after="140" w:line="288" w:lineRule="auto"/>
      </w:pPr>
      <w:r>
        <w:rPr>
          <w:rFonts w:ascii="Arial" w:hAnsi="Arial" w:eastAsia="黑体"/>
          <w:b/>
          <w:bCs/>
          <w:sz w:val="25"/>
          <w:szCs w:val="25"/>
        </w:rPr>
        <w:t xml:space="preserve">（二）项目单位</w:t>
      </w:r>
    </w:p>
    <w:p>
      <w:pPr>
        <w:spacing w:before="60" w:after="60" w:line="300" w:lineRule="auto"/>
      </w:pPr>
      <w:r>
        <w:rPr>
          <w:rFonts w:ascii="Times New Roman" w:hAnsi="Times New Roman" w:eastAsia="宋体"/>
          <w:sz w:val="21"/>
          <w:szCs w:val="21"/>
        </w:rPr>
        <w:t xml:space="preserve">江苏省渔业执法监督中心。该单位为长江流域重点水域禁捕执法装备设施建设项目（综合管理平台和电子围栏）的项目单位，本次为同一主体实施的智能化能力增量建设。</w:t>
      </w:r>
    </w:p>
    <w:p>
      <w:pPr>
        <w:pStyle w:val="Heading3"/>
        <w:spacing w:before="280" w:after="140" w:line="288" w:lineRule="auto"/>
      </w:pPr>
      <w:r>
        <w:rPr>
          <w:rFonts w:ascii="Arial" w:hAnsi="Arial" w:eastAsia="黑体"/>
          <w:b/>
          <w:bCs/>
          <w:sz w:val="25"/>
          <w:szCs w:val="25"/>
        </w:rPr>
        <w:t xml:space="preserve">（三）建设地点</w:t>
      </w:r>
    </w:p>
    <w:p>
      <w:pPr>
        <w:spacing w:before="60" w:after="60" w:line="300" w:lineRule="auto"/>
      </w:pPr>
      <w:r>
        <w:rPr>
          <w:rFonts w:ascii="Times New Roman" w:hAnsi="Times New Roman" w:eastAsia="宋体"/>
          <w:sz w:val="21"/>
          <w:szCs w:val="21"/>
        </w:rPr>
        <w:t xml:space="preserve">江苏省政务云（内网环境），依托在建的水上渔业执法监督综合管理平台部署，覆盖省级监管中心及骆马湖、洪泽湖、高宝邵伯湖、滆湖、太湖五个省管湖泊执法应用场景。</w:t>
      </w:r>
    </w:p>
    <w:p>
      <w:pPr>
        <w:pStyle w:val="Heading3"/>
        <w:spacing w:before="280" w:after="140" w:line="288" w:lineRule="auto"/>
      </w:pPr>
      <w:r>
        <w:rPr>
          <w:rFonts w:ascii="Arial" w:hAnsi="Arial" w:eastAsia="黑体"/>
          <w:b/>
          <w:bCs/>
          <w:sz w:val="25"/>
          <w:szCs w:val="25"/>
        </w:rPr>
        <w:t xml:space="preserve">（四）建设内容与规模</w:t>
      </w:r>
    </w:p>
    <w:p>
      <w:pPr>
        <w:spacing w:before="60" w:after="60" w:line="300" w:lineRule="auto"/>
      </w:pPr>
      <w:r>
        <w:rPr>
          <w:rFonts w:ascii="Times New Roman" w:hAnsi="Times New Roman" w:eastAsia="宋体"/>
          <w:sz w:val="21"/>
          <w:szCs w:val="21"/>
        </w:rPr>
        <w:t xml:space="preserve">在在建平台基础上增量建设政务执法场景专用AI智能体体系，补齐智能研判、自主调度、线索串联、合规溯源能力，共</w:t>
      </w:r>
      <w:r>
        <w:rPr>
          <w:rFonts w:ascii="Times New Roman" w:hAnsi="Times New Roman" w:eastAsia="宋体"/>
          <w:b/>
          <w:bCs/>
          <w:sz w:val="21"/>
          <w:szCs w:val="21"/>
        </w:rPr>
        <w:t xml:space="preserve">9项建设内容</w:t>
      </w:r>
      <w:r>
        <w:rPr>
          <w:rFonts w:ascii="Times New Roman" w:hAnsi="Times New Roman" w:eastAsia="宋体"/>
          <w:sz w:val="21"/>
          <w:szCs w:val="21"/>
        </w:rPr>
        <w:t xml:space="preserve">（6项核心能力模块＋3项配套保障事项），工作量</w:t>
      </w:r>
      <w:r>
        <w:rPr>
          <w:rFonts w:ascii="Times New Roman" w:hAnsi="Times New Roman" w:eastAsia="宋体"/>
          <w:b/>
          <w:bCs/>
          <w:sz w:val="21"/>
          <w:szCs w:val="21"/>
        </w:rPr>
        <w:t xml:space="preserve">410人天</w:t>
      </w:r>
      <w:r>
        <w:rPr>
          <w:rFonts w:ascii="Times New Roman" w:hAnsi="Times New Roman" w:eastAsia="宋体"/>
          <w:sz w:val="21"/>
          <w:szCs w:val="21"/>
        </w:rPr>
        <w:t xml:space="preserve">。</w:t>
      </w:r>
    </w:p>
    <w:p>
      <w:pPr>
        <w:pStyle w:val="Heading3"/>
        <w:spacing w:before="280" w:after="140" w:line="288" w:lineRule="auto"/>
      </w:pPr>
      <w:r>
        <w:rPr>
          <w:rFonts w:ascii="Arial" w:hAnsi="Arial" w:eastAsia="黑体"/>
          <w:b/>
          <w:bCs/>
          <w:sz w:val="25"/>
          <w:szCs w:val="25"/>
        </w:rPr>
        <w:t xml:space="preserve">（五）项目总投资与资金来源</w:t>
      </w:r>
    </w:p>
    <w:p>
      <w:pPr>
        <w:spacing w:before="60" w:after="60" w:line="300" w:lineRule="auto"/>
      </w:pPr>
      <w:r>
        <w:rPr>
          <w:rFonts w:ascii="Times New Roman" w:hAnsi="Times New Roman" w:eastAsia="宋体"/>
          <w:sz w:val="21"/>
          <w:szCs w:val="21"/>
        </w:rPr>
        <w:t xml:space="preserve">项目总投资</w:t>
      </w:r>
      <w:r>
        <w:rPr>
          <w:rFonts w:ascii="Times New Roman" w:hAnsi="Times New Roman" w:eastAsia="宋体"/>
          <w:b/>
          <w:bCs/>
          <w:sz w:val="21"/>
          <w:szCs w:val="21"/>
        </w:rPr>
        <w:t xml:space="preserve">82万元</w:t>
      </w:r>
      <w:r>
        <w:rPr>
          <w:rFonts w:ascii="Times New Roman" w:hAnsi="Times New Roman" w:eastAsia="宋体"/>
          <w:sz w:val="21"/>
          <w:szCs w:val="21"/>
        </w:rPr>
        <w:t xml:space="preserve">（大写：捌拾贰万元整），全部为软件开发服务费用，无硬件购置费用。</w:t>
      </w:r>
    </w:p>
    <w:p>
      <w:pPr>
        <w:spacing w:before="60" w:after="60" w:line="300" w:lineRule="auto"/>
      </w:pPr>
      <w:r>
        <w:rPr>
          <w:rFonts w:ascii="Times New Roman" w:hAnsi="Times New Roman" w:eastAsia="宋体"/>
          <w:b/>
          <w:bCs/>
          <w:sz w:val="21"/>
          <w:szCs w:val="21"/>
        </w:rPr>
        <w:t xml:space="preserve">资金来源：</w:t>
      </w:r>
      <w:r>
        <w:rPr>
          <w:rFonts w:ascii="Times New Roman" w:hAnsi="Times New Roman" w:eastAsia="宋体"/>
          <w:sz w:val="21"/>
          <w:szCs w:val="21"/>
        </w:rPr>
        <w:t xml:space="preserve"> 【由项目单位按实际情况填写，可选：①省级财政预算安排；②原项目批复投资内调剂；③其他资金渠道】</w:t>
      </w:r>
    </w:p>
    <w:p>
      <w:pPr>
        <w:pStyle w:val="Heading3"/>
        <w:spacing w:before="280" w:after="140" w:line="288" w:lineRule="auto"/>
      </w:pPr>
      <w:r>
        <w:rPr>
          <w:rFonts w:ascii="Arial" w:hAnsi="Arial" w:eastAsia="黑体"/>
          <w:b/>
          <w:bCs/>
          <w:sz w:val="25"/>
          <w:szCs w:val="25"/>
        </w:rPr>
        <w:t xml:space="preserve">（六）建设期限</w:t>
      </w:r>
    </w:p>
    <w:p>
      <w:pPr>
        <w:spacing w:before="60" w:after="60" w:line="300" w:lineRule="auto"/>
      </w:pPr>
      <w:r>
        <w:rPr>
          <w:rFonts w:ascii="Times New Roman" w:hAnsi="Times New Roman" w:eastAsia="宋体"/>
          <w:sz w:val="21"/>
          <w:szCs w:val="21"/>
        </w:rPr>
        <w:t xml:space="preserve">自项目批复及资金落实后</w:t>
      </w:r>
      <w:r>
        <w:rPr>
          <w:rFonts w:ascii="Times New Roman" w:hAnsi="Times New Roman" w:eastAsia="宋体"/>
          <w:b/>
          <w:bCs/>
          <w:sz w:val="21"/>
          <w:szCs w:val="21"/>
        </w:rPr>
        <w:t xml:space="preserve">14周</w:t>
      </w:r>
      <w:r>
        <w:rPr>
          <w:rFonts w:ascii="Times New Roman" w:hAnsi="Times New Roman" w:eastAsia="宋体"/>
          <w:sz w:val="21"/>
          <w:szCs w:val="21"/>
        </w:rPr>
        <w:t xml:space="preserve">（约3.5个月）完成建设并交付试运行。</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二、项目建设的必要性</w:t>
      </w:r>
    </w:p>
    <w:p>
      <w:pPr>
        <w:pStyle w:val="Heading3"/>
        <w:spacing w:before="280" w:after="140" w:line="288" w:lineRule="auto"/>
      </w:pPr>
      <w:r>
        <w:rPr>
          <w:rFonts w:ascii="Arial" w:hAnsi="Arial" w:eastAsia="黑体"/>
          <w:b/>
          <w:bCs/>
          <w:sz w:val="25"/>
          <w:szCs w:val="25"/>
        </w:rPr>
        <w:t xml:space="preserve">（一）落实长江十年禁渔法定职责的需要</w:t>
      </w:r>
    </w:p>
    <w:p>
      <w:pPr>
        <w:spacing w:before="60" w:after="60" w:line="300" w:lineRule="auto"/>
      </w:pPr>
      <w:r>
        <w:rPr>
          <w:rFonts w:ascii="Times New Roman" w:hAnsi="Times New Roman" w:eastAsia="宋体"/>
          <w:sz w:val="21"/>
          <w:szCs w:val="21"/>
        </w:rPr>
        <w:t xml:space="preserve">长江十年禁渔是党中央、国务院作出的重大决策部署。《中华人民共和国长江保护法》对强化长江流域禁捕执法能力、加强监测预警与信息化保障作出规定。江苏省地处长江下游，拥有近1200公里长江干流及洲岛岸线、6800平方公里涉禁湖泊面积，并涉及苏皖交界、江浙沪长江口共管水域，禁捕监管任务繁重。本项目属于法定执法监管能力建设范畴。</w:t>
      </w:r>
    </w:p>
    <w:p>
      <w:pPr>
        <w:pStyle w:val="Heading3"/>
        <w:spacing w:before="280" w:after="140" w:line="288" w:lineRule="auto"/>
      </w:pPr>
      <w:r>
        <w:rPr>
          <w:rFonts w:ascii="Arial" w:hAnsi="Arial" w:eastAsia="黑体"/>
          <w:b/>
          <w:bCs/>
          <w:sz w:val="25"/>
          <w:szCs w:val="25"/>
        </w:rPr>
        <w:t xml:space="preserve">（二）破解基层执法"人少事多"结构性矛盾的需要</w:t>
      </w:r>
    </w:p>
    <w:p>
      <w:pPr>
        <w:spacing w:before="60" w:after="60" w:line="300" w:lineRule="auto"/>
      </w:pPr>
      <w:r>
        <w:rPr>
          <w:rFonts w:ascii="Times New Roman" w:hAnsi="Times New Roman" w:eastAsia="宋体"/>
          <w:sz w:val="21"/>
          <w:szCs w:val="21"/>
        </w:rPr>
        <w:t xml:space="preserve">五大省管湖区水域辽阔、岸线绵长、监管点位分散，一线执法力量有限，传统人工巡查、人工研判模式难以实现全域全时段管控。通过智能化手段实现技防补人防，是提升监管覆盖面的现实途径。</w:t>
      </w:r>
    </w:p>
    <w:p>
      <w:pPr>
        <w:pStyle w:val="Heading3"/>
        <w:spacing w:before="280" w:after="140" w:line="288" w:lineRule="auto"/>
      </w:pPr>
      <w:r>
        <w:rPr>
          <w:rFonts w:ascii="Arial" w:hAnsi="Arial" w:eastAsia="黑体"/>
          <w:b/>
          <w:bCs/>
          <w:sz w:val="25"/>
          <w:szCs w:val="25"/>
        </w:rPr>
        <w:t xml:space="preserve">（三）突破人工研判效率瓶颈的需要</w:t>
      </w:r>
    </w:p>
    <w:p>
      <w:pPr>
        <w:spacing w:before="60" w:after="60" w:line="300" w:lineRule="auto"/>
      </w:pPr>
      <w:r>
        <w:rPr>
          <w:rFonts w:ascii="Times New Roman" w:hAnsi="Times New Roman" w:eastAsia="宋体"/>
          <w:sz w:val="21"/>
          <w:szCs w:val="21"/>
        </w:rPr>
        <w:t xml:space="preserve">在建平台已实现数据采集与流程贯通，但核心研判环节仍依赖人工。招标文件"智能预警子系统－预警分析研判"条目原文明确为"进行</w:t>
      </w:r>
      <w:r>
        <w:rPr>
          <w:rFonts w:ascii="Times New Roman" w:hAnsi="Times New Roman" w:eastAsia="宋体"/>
          <w:b/>
          <w:bCs/>
          <w:sz w:val="21"/>
          <w:szCs w:val="21"/>
        </w:rPr>
        <w:t xml:space="preserve">人工</w:t>
      </w:r>
      <w:r>
        <w:rPr>
          <w:rFonts w:ascii="Times New Roman" w:hAnsi="Times New Roman" w:eastAsia="宋体"/>
          <w:sz w:val="21"/>
          <w:szCs w:val="21"/>
        </w:rPr>
        <w:t xml:space="preserve">初步研判"，单条违规线索的研判周期以天计，难以满足实时监管要求。</w:t>
      </w:r>
    </w:p>
    <w:p>
      <w:pPr>
        <w:pStyle w:val="Heading3"/>
        <w:spacing w:before="280" w:after="140" w:line="288" w:lineRule="auto"/>
      </w:pPr>
      <w:r>
        <w:rPr>
          <w:rFonts w:ascii="Arial" w:hAnsi="Arial" w:eastAsia="黑体"/>
          <w:b/>
          <w:bCs/>
          <w:sz w:val="25"/>
          <w:szCs w:val="25"/>
        </w:rPr>
        <w:t xml:space="preserve">（四）解决系统能力固化、无法迭代的需要</w:t>
      </w:r>
    </w:p>
    <w:p>
      <w:pPr>
        <w:spacing w:before="60" w:after="60" w:line="300" w:lineRule="auto"/>
      </w:pPr>
      <w:r>
        <w:rPr>
          <w:rFonts w:ascii="Times New Roman" w:hAnsi="Times New Roman" w:eastAsia="宋体"/>
          <w:sz w:val="21"/>
          <w:szCs w:val="21"/>
        </w:rPr>
        <w:t xml:space="preserve">现有视觉识别模型训练完成后固化运行，难以适配夜间偷钓、隐蔽捕捞、团伙违规等新型作案手法，系统能力将随执法场景演变逐步滞后，需建立可持续迭代的机制。</w:t>
      </w:r>
    </w:p>
    <w:p>
      <w:pPr>
        <w:pStyle w:val="Heading3"/>
        <w:spacing w:before="280" w:after="140" w:line="288" w:lineRule="auto"/>
      </w:pPr>
      <w:r>
        <w:rPr>
          <w:rFonts w:ascii="Arial" w:hAnsi="Arial" w:eastAsia="黑体"/>
          <w:b/>
          <w:bCs/>
          <w:sz w:val="25"/>
          <w:szCs w:val="25"/>
        </w:rPr>
        <w:t xml:space="preserve">（五）适应人工智能技术条件成熟的需要</w:t>
      </w:r>
    </w:p>
    <w:p>
      <w:pPr>
        <w:spacing w:before="60" w:after="60" w:line="300" w:lineRule="auto"/>
      </w:pPr>
      <w:r>
        <w:rPr>
          <w:rFonts w:ascii="Times New Roman" w:hAnsi="Times New Roman" w:eastAsia="宋体"/>
          <w:sz w:val="21"/>
          <w:szCs w:val="21"/>
        </w:rPr>
        <w:t xml:space="preserve">在建项目方案于2024年12月编制，彼时AI智能体技术尚未成熟，平台主要依托传统机器视觉与规则引擎，解决的是"看得见、采得到"的问题。截至2026年，大语言模型、检索增强生成、多智能体协同等技术已实现工程化落地，国产大模型底座与信创适配方案趋于完备，具备在政务内网私有化部署的条件。</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三、与已批复项目的关系及拟履行程序</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本章为本次报送的核心事项，请重点审核。</w:t>
      </w:r>
    </w:p>
    <w:p>
      <w:pPr>
        <w:pStyle w:val="Heading3"/>
        <w:spacing w:before="280" w:after="140" w:line="288" w:lineRule="auto"/>
      </w:pPr>
      <w:r>
        <w:rPr>
          <w:rFonts w:ascii="Arial" w:hAnsi="Arial" w:eastAsia="黑体"/>
          <w:b/>
          <w:bCs/>
          <w:sz w:val="25"/>
          <w:szCs w:val="25"/>
        </w:rPr>
        <w:t xml:space="preserve">（一）与原批复项目的关系</w:t>
      </w:r>
    </w:p>
    <w:p>
      <w:pPr>
        <w:spacing w:before="60" w:after="60" w:line="300" w:lineRule="auto"/>
      </w:pPr>
      <w:r>
        <w:rPr>
          <w:rFonts w:ascii="Times New Roman" w:hAnsi="Times New Roman" w:eastAsia="宋体"/>
          <w:sz w:val="21"/>
          <w:szCs w:val="21"/>
        </w:rPr>
        <w:t xml:space="preserve">原项目《长江流域重点水域禁捕执法装备设施建设项目（综合管理平台和电子围栏）》已取得《省发展改革委关于长江流域重点水域禁捕执法装备设施建设项目可行性研究报告的批复》（苏发改投资发〔2024〕87号），并于2025年10月完成招标、启动建设，项目编号JSZC-320000-SCZX-G2025-0529。</w:t>
      </w:r>
    </w:p>
    <w:p>
      <w:pPr>
        <w:spacing w:before="60" w:after="60" w:line="300" w:lineRule="auto"/>
      </w:pPr>
      <w:r>
        <w:rPr>
          <w:rFonts w:ascii="Times New Roman" w:hAnsi="Times New Roman" w:eastAsia="宋体"/>
          <w:sz w:val="21"/>
          <w:szCs w:val="21"/>
        </w:rPr>
        <w:t xml:space="preserve">本次智能化能力提升为</w:t>
      </w:r>
      <w:r>
        <w:rPr>
          <w:rFonts w:ascii="Times New Roman" w:hAnsi="Times New Roman" w:eastAsia="宋体"/>
          <w:b/>
          <w:bCs/>
          <w:sz w:val="21"/>
          <w:szCs w:val="21"/>
        </w:rPr>
        <w:t xml:space="preserve">在原项目建设成果之上的增量建设</w:t>
      </w:r>
      <w:r>
        <w:rPr>
          <w:rFonts w:ascii="Times New Roman" w:hAnsi="Times New Roman" w:eastAsia="宋体"/>
          <w:sz w:val="21"/>
          <w:szCs w:val="21"/>
        </w:rPr>
        <w:t xml:space="preserve">，具体关系如下：</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关系维度</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说明</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建设主体</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与原项目为同一项目单位</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建设对象</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依托原项目建成的综合管理平台，不新建独立系统</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技术关系</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增量叠加，不修改原平台代码、不重构系统底座</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建设内容关系</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经与原招标文件第四章"2.软件开发"287项功能条目逐条比对，本次9项建设内容均为原招标文件未覆盖的增量内容；另有14项能力直接复用原项目建设成果，不重复投入</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对原项目的影响</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不影响原项目功能完整性、建设进度和竣工验收</w:t>
            </w:r>
          </w:p>
        </w:tc>
      </w:tr>
    </w:tbl>
    <w:p>
      <w:pPr>
        <w:spacing w:before="0" w:after="60"/>
      </w:pPr>
    </w:p>
    <w:p>
      <w:pPr>
        <w:pStyle w:val="Heading3"/>
        <w:spacing w:before="280" w:after="140" w:line="288" w:lineRule="auto"/>
      </w:pPr>
      <w:r>
        <w:rPr>
          <w:rFonts w:ascii="Arial" w:hAnsi="Arial" w:eastAsia="黑体"/>
          <w:b/>
          <w:bCs/>
          <w:sz w:val="25"/>
          <w:szCs w:val="25"/>
        </w:rPr>
        <w:t xml:space="preserve">（二）拟履行的审批程序</w:t>
      </w:r>
    </w:p>
    <w:p>
      <w:pPr>
        <w:spacing w:before="60" w:after="60" w:line="300" w:lineRule="auto"/>
      </w:pPr>
      <w:r>
        <w:rPr>
          <w:rFonts w:ascii="Times New Roman" w:hAnsi="Times New Roman" w:eastAsia="宋体"/>
          <w:sz w:val="21"/>
          <w:szCs w:val="21"/>
        </w:rPr>
        <w:t xml:space="preserve">本次新增内容不在苏发改投资发〔2024〕87号批复确定的建设内容范围内，需履行相应审批程序。提请明确适用路径：</w:t>
      </w:r>
    </w:p>
    <w:p>
      <w:pPr>
        <w:spacing w:before="60" w:after="60" w:line="300" w:lineRule="auto"/>
      </w:pPr>
      <w:r>
        <w:rPr>
          <w:rFonts w:ascii="Times New Roman" w:hAnsi="Times New Roman" w:eastAsia="宋体"/>
          <w:b/>
          <w:bCs/>
          <w:sz w:val="21"/>
          <w:szCs w:val="21"/>
        </w:rPr>
        <w:t xml:space="preserve">路径一（建议采用）：作为原项目建设内容调整事项报批。</w:t>
      </w:r>
    </w:p>
    <w:p>
      <w:pPr>
        <w:spacing w:before="60" w:after="60" w:line="300" w:lineRule="auto"/>
      </w:pPr>
      <w:r>
        <w:rPr>
          <w:rFonts w:ascii="Times New Roman" w:hAnsi="Times New Roman" w:eastAsia="宋体"/>
          <w:sz w:val="21"/>
          <w:szCs w:val="21"/>
        </w:rPr>
        <w:t xml:space="preserve">本次投资82万元，相对原项目投资规模占比较小，建设内容与原项目高度耦合、依托原平台实施，不具备独立运行条件。按《政府投资条例》关于政府投资项目建设内容和投资概算调整的相关规定，提请以原项目建设内容调整方式报原批准部门核定，同步明确资金来源。</w:t>
      </w:r>
    </w:p>
    <w:p>
      <w:pPr>
        <w:spacing w:before="60" w:after="60" w:line="300" w:lineRule="auto"/>
      </w:pPr>
      <w:r>
        <w:rPr>
          <w:rFonts w:ascii="Times New Roman" w:hAnsi="Times New Roman" w:eastAsia="宋体"/>
          <w:b/>
          <w:bCs/>
          <w:sz w:val="21"/>
          <w:szCs w:val="21"/>
        </w:rPr>
        <w:t xml:space="preserve">路径二：作为独立项目单独立项。</w:t>
      </w:r>
    </w:p>
    <w:p>
      <w:pPr>
        <w:spacing w:before="60" w:after="60" w:line="300" w:lineRule="auto"/>
      </w:pPr>
      <w:r>
        <w:rPr>
          <w:rFonts w:ascii="Times New Roman" w:hAnsi="Times New Roman" w:eastAsia="宋体"/>
          <w:sz w:val="21"/>
          <w:szCs w:val="21"/>
        </w:rPr>
        <w:t xml:space="preserve">如认定本次内容应单独立项，则按政府投资项目审批流程另行报批。此路径下需注意：本次建设成果无法脱离原平台独立运行，独立立项后在验收、运维、资产归属等环节需与原项目作出衔接安排。</w:t>
      </w:r>
    </w:p>
    <w:p>
      <w:pPr>
        <w:pStyle w:val="Heading3"/>
        <w:spacing w:before="280" w:after="140" w:line="288" w:lineRule="auto"/>
      </w:pPr>
      <w:r>
        <w:rPr>
          <w:rFonts w:ascii="Arial" w:hAnsi="Arial" w:eastAsia="黑体"/>
          <w:b/>
          <w:bCs/>
          <w:sz w:val="25"/>
          <w:szCs w:val="25"/>
        </w:rPr>
        <w:t xml:space="preserve">（三）政府采购程序衔接</w:t>
      </w:r>
    </w:p>
    <w:p>
      <w:pPr>
        <w:spacing w:before="60" w:after="60" w:line="300" w:lineRule="auto"/>
      </w:pPr>
      <w:r>
        <w:rPr>
          <w:rFonts w:ascii="Times New Roman" w:hAnsi="Times New Roman" w:eastAsia="宋体"/>
          <w:sz w:val="21"/>
          <w:szCs w:val="21"/>
        </w:rPr>
        <w:t xml:space="preserve">原招标文件第三章明确"中标供应商不得将合同标的进行转包，未经采购人同意也不得采用分包的形式履行合同"。本次建设内容的实施主体安排，需在审批路径确定后，由项目单位会同财政部门确认适用的变更或新增采购程序。</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四、建设方案</w:t>
      </w:r>
    </w:p>
    <w:p>
      <w:pPr>
        <w:pStyle w:val="Heading3"/>
        <w:spacing w:before="280" w:after="140" w:line="288" w:lineRule="auto"/>
      </w:pPr>
      <w:r>
        <w:rPr>
          <w:rFonts w:ascii="Arial" w:hAnsi="Arial" w:eastAsia="黑体"/>
          <w:b/>
          <w:bCs/>
          <w:sz w:val="25"/>
          <w:szCs w:val="25"/>
        </w:rPr>
        <w:t xml:space="preserve">（一）总体方案</w:t>
      </w:r>
    </w:p>
    <w:p>
      <w:pPr>
        <w:spacing w:before="60" w:after="60" w:line="300" w:lineRule="auto"/>
      </w:pPr>
      <w:r>
        <w:rPr>
          <w:rFonts w:ascii="Times New Roman" w:hAnsi="Times New Roman" w:eastAsia="宋体"/>
          <w:sz w:val="21"/>
          <w:szCs w:val="21"/>
        </w:rPr>
        <w:t xml:space="preserve">采用"</w:t>
      </w:r>
      <w:r>
        <w:rPr>
          <w:rFonts w:ascii="Times New Roman" w:hAnsi="Times New Roman" w:eastAsia="宋体"/>
          <w:b/>
          <w:bCs/>
          <w:sz w:val="21"/>
          <w:szCs w:val="21"/>
        </w:rPr>
        <w:t xml:space="preserve">不推翻、不重构、增量叠加</w:t>
      </w:r>
      <w:r>
        <w:rPr>
          <w:rFonts w:ascii="Times New Roman" w:hAnsi="Times New Roman" w:eastAsia="宋体"/>
          <w:sz w:val="21"/>
          <w:szCs w:val="21"/>
        </w:rPr>
        <w:t xml:space="preserve">"的建设方式：在原平台已建成的多源预警、指挥调度、移动执法、案件办理、数据存储、视频联动底座之上，叠加AI智能体能力层。原有业务流程保持不变，AI能力接入既有流程节点，将原由人工完成的环节调整为"系统处置＋人工确认"。</w:t>
      </w:r>
    </w:p>
    <w:p>
      <w:pPr>
        <w:spacing w:before="60" w:after="60" w:line="300" w:lineRule="auto"/>
      </w:pPr>
      <w:r>
        <w:rPr>
          <w:rFonts w:ascii="Times New Roman" w:hAnsi="Times New Roman" w:eastAsia="宋体"/>
          <w:b/>
          <w:bCs/>
          <w:sz w:val="21"/>
          <w:szCs w:val="21"/>
        </w:rPr>
        <w:t xml:space="preserve">AI在执法中的定位：AI仅作为辅助工具，不替代执法人员法定职权。</w:t>
      </w:r>
      <w:r>
        <w:rPr>
          <w:rFonts w:ascii="Times New Roman" w:hAnsi="Times New Roman" w:eastAsia="宋体"/>
          <w:sz w:val="21"/>
          <w:szCs w:val="21"/>
        </w:rPr>
        <w:t xml:space="preserve"> 行政处罚决定由执法人员依法作出并签字负责；AI输出的研判结论、等级判定、处罚幅度建议均为参考意见。低置信度、无法规依据、高风险操作三类场景强制转人工处置。</w:t>
      </w:r>
    </w:p>
    <w:p>
      <w:pPr>
        <w:spacing w:before="60" w:after="60" w:line="300" w:lineRule="auto"/>
      </w:pPr>
      <w:r>
        <w:rPr>
          <w:rFonts w:ascii="Times New Roman" w:hAnsi="Times New Roman" w:eastAsia="宋体"/>
          <w:b/>
          <w:bCs/>
          <w:sz w:val="21"/>
          <w:szCs w:val="21"/>
        </w:rPr>
        <w:t xml:space="preserve">回退机制：</w:t>
      </w:r>
      <w:r>
        <w:rPr>
          <w:rFonts w:ascii="Times New Roman" w:hAnsi="Times New Roman" w:eastAsia="宋体"/>
          <w:sz w:val="21"/>
          <w:szCs w:val="21"/>
        </w:rPr>
        <w:t xml:space="preserve"> AI能力可一键停用，随时回退至现有人工流程，不影响业务连续性。</w:t>
      </w:r>
    </w:p>
    <w:p>
      <w:pPr>
        <w:pStyle w:val="Heading3"/>
        <w:spacing w:before="280" w:after="140" w:line="288" w:lineRule="auto"/>
      </w:pPr>
      <w:r>
        <w:rPr>
          <w:rFonts w:ascii="Arial" w:hAnsi="Arial" w:eastAsia="黑体"/>
          <w:b/>
          <w:bCs/>
          <w:sz w:val="25"/>
          <w:szCs w:val="25"/>
        </w:rPr>
        <w:t xml:space="preserve">（二）复用与新增边界</w:t>
      </w:r>
    </w:p>
    <w:p>
      <w:pPr>
        <w:spacing w:before="60" w:after="60" w:line="300" w:lineRule="auto"/>
      </w:pPr>
      <w:r>
        <w:rPr>
          <w:rFonts w:ascii="Times New Roman" w:hAnsi="Times New Roman" w:eastAsia="宋体"/>
          <w:sz w:val="21"/>
          <w:szCs w:val="21"/>
        </w:rPr>
        <w:t xml:space="preserve">经逐条核对原招标文件第四章"2.软件开发"技术要求，以下</w:t>
      </w:r>
      <w:r>
        <w:rPr>
          <w:rFonts w:ascii="Times New Roman" w:hAnsi="Times New Roman" w:eastAsia="宋体"/>
          <w:b/>
          <w:bCs/>
          <w:sz w:val="21"/>
          <w:szCs w:val="21"/>
        </w:rPr>
        <w:t xml:space="preserve">14项能力已建成，本次全部复用、不投入工作量</w:t>
      </w:r>
      <w:r>
        <w:rPr>
          <w:rFonts w:ascii="Times New Roman" w:hAnsi="Times New Roman" w:eastAsia="宋体"/>
          <w:sz w:val="21"/>
          <w:szCs w:val="21"/>
        </w:rPr>
        <w:t xml:space="preserve">：</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42"/>
        <w:gridCol w:w="2313"/>
        <w:gridCol w:w="2891"/>
        <w:gridCol w:w="2892"/>
      </w:tblGrid>
      <w:tr>
        <w:trPr>
          <w:tblHeader/>
          <w:cantSplit/>
        </w:trPr>
        <w:tc>
          <w:tcPr>
            <w:tcW w:w="154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原招标文件条目定位</w:t>
            </w:r>
          </w:p>
        </w:tc>
        <w:tc>
          <w:tcPr>
            <w:tcW w:w="289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已建成能力</w:t>
            </w:r>
          </w:p>
        </w:tc>
        <w:tc>
          <w:tcPr>
            <w:tcW w:w="289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本次处置方式</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门户 第4项 个人工作台－快捷入口</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NLP意图分类、实体标签提取</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复用为自然语言理解底层服务</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门户 第7项 个人工作台－综合查询</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大数据融合搜索、智能语义分析检索</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复用为知识检索关键词通道</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重点人员管理子系统 第3项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人脸抓拍、人脸识别报警、黑名单库</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复用为人员比对能力</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重点人员管理子系统 第7-8项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人员异常活动分析、聚集事态分析</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复用为线索串联数据来源</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执法办案应用子系统 第4-8项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执法案件评分（自动评分、结果修正、内置与自定义标准）</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复用，本次不重建案件评分能力</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渔政装备管理应用子系统</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与省海洋渔业安全监管系统装备管理模块对接</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复用为装备数据来源</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业务能力中心 第1-5项 事件中心</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事件接收、联动、处置、预案与参数配置</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复用为事件回写通道</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业务能力中心 第6-9项 报表引擎</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数据源配置、报表预统计、页面配置、导出</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复用为报表生成能力</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9</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业务能力中心 第15-20项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中文分词、动态模型训练、全文检索与倒排索引</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复用为文本处理底层服务</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 第1-7项 数据建模可视化</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多数据源接入、近30类图表、驾驶舱</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复用为可视化能力</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11</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 第8-11项 数据存储管理</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分布式文件系统、NoSQL、列式存储</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复用为记忆库存储底座</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12</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 第12-22项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分布式协调、资源调度、容器环境、流处理引擎</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复用为AI服务运行环境</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13</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 第29-31项 数据安全管控</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鉴权中心、字段级安全控制、列脱敏、行过滤</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复用为数据权限过滤能力</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14</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巡查执勤处置子系统 第14项 移动端设计</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基于苏农云移动应用基座的移动端</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复用，本次不另建移动端应用</w:t>
            </w:r>
          </w:p>
        </w:tc>
      </w:tr>
    </w:tbl>
    <w:p>
      <w:pPr>
        <w:spacing w:before="0" w:after="60"/>
      </w:pPr>
    </w:p>
    <w:p>
      <w:pPr>
        <w:pStyle w:val="Heading3"/>
        <w:spacing w:before="280" w:after="140" w:line="288" w:lineRule="auto"/>
      </w:pPr>
      <w:r>
        <w:rPr>
          <w:rFonts w:ascii="Arial" w:hAnsi="Arial" w:eastAsia="黑体"/>
          <w:b/>
          <w:bCs/>
          <w:sz w:val="25"/>
          <w:szCs w:val="25"/>
        </w:rPr>
        <w:t xml:space="preserve">（三）本次建设内容</w:t>
      </w:r>
    </w:p>
    <w:p>
      <w:pPr>
        <w:spacing w:before="60" w:after="60" w:line="300" w:lineRule="auto"/>
      </w:pPr>
      <w:r>
        <w:rPr>
          <w:rFonts w:ascii="Times New Roman" w:hAnsi="Times New Roman" w:eastAsia="宋体"/>
          <w:sz w:val="21"/>
          <w:szCs w:val="21"/>
        </w:rPr>
        <w:t xml:space="preserve">以下9项为原招标文件未覆盖的增量内容：</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主要功能</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人天</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投资（万元）</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多智能体协同调度中枢</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任务自动拆解、智能分发、进度监控、异常兜底闭环，贯通"预警→研判→调度→派单→处置→归档"链路</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12.0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自然语言指令理解与任务转化</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指令语义解析、结构化任务生成、置信度不足时自动转人工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55</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11.0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历史关联与线索串联</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关联水域历史预警、船舶轨迹与违规记录、人员违法台账，生成完整线索链条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12.0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法条检索与智能引用</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法规、裁量基准、典型案例结构化入库；研判结论强制附原文引用；无依据时禁止输出结论并转人工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65</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13.0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智能自动调取与闭环执行</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雷视联动后自动调取画面、自动查档、生成工单；高风险操作设人工确认关口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全链路审计与安全管控</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AI推理过程溯源、RBAC最小权限管控、操作全程留痕、日志分类留存</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75</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15.0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渔政专属评测集与回归测试</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构建行业场景评测数据集，模型或规则变更后执行回归验证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统一模型网关</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标准化大模型调用接口，实现模型替换不改动业务代码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2.0</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提示词安全渗透测试</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防范恶意诱导、越权调用、提示词注入风险</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合计</w:t>
            </w:r>
          </w:p>
        </w:tc>
        <w:tc>
          <w:tcPr>
            <w:tcW w:w="1735" w:type="dxa"/>
            <w:tcMar>
              <w:top w:w="40" w:type="dxa"/>
              <w:left w:w="70" w:type="dxa"/>
              <w:bottom w:w="40" w:type="dxa"/>
              <w:right w:w="70" w:type="dxa"/>
            </w:tcMar>
            <w:vAlign w:val="top"/>
          </w:tcPr>
          <w:p>
            <w:pPr>
              <w:spacing w:before="20" w:after="20" w:line="264" w:lineRule="auto"/>
            </w:pPr>
            <w:r>
              <w:t xml:space="preserve"/>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410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82.0</w:t>
            </w:r>
          </w:p>
        </w:tc>
      </w:tr>
    </w:tbl>
    <w:p>
      <w:pPr>
        <w:spacing w:before="0" w:after="60"/>
      </w:pPr>
    </w:p>
    <w:p>
      <w:pPr>
        <w:pStyle w:val="Heading3"/>
        <w:spacing w:before="280" w:after="140" w:line="288" w:lineRule="auto"/>
      </w:pPr>
      <w:r>
        <w:rPr>
          <w:rFonts w:ascii="Arial" w:hAnsi="Arial" w:eastAsia="黑体"/>
          <w:b/>
          <w:bCs/>
          <w:sz w:val="25"/>
          <w:szCs w:val="25"/>
        </w:rPr>
        <w:t xml:space="preserve">（四）不纳入本次建设范围的内容</w:t>
      </w:r>
    </w:p>
    <w:p>
      <w:pPr>
        <w:spacing w:before="60" w:after="60" w:line="300" w:lineRule="auto"/>
      </w:pPr>
      <w:r>
        <w:rPr>
          <w:rFonts w:ascii="Times New Roman" w:hAnsi="Times New Roman" w:eastAsia="宋体"/>
          <w:sz w:val="21"/>
          <w:szCs w:val="21"/>
        </w:rPr>
        <w:t xml:space="preserve">以下四项为在原项目已建能力基础上的深化增强内容，</w:t>
      </w:r>
      <w:r>
        <w:rPr>
          <w:rFonts w:ascii="Times New Roman" w:hAnsi="Times New Roman" w:eastAsia="宋体"/>
          <w:b/>
          <w:bCs/>
          <w:sz w:val="21"/>
          <w:szCs w:val="21"/>
        </w:rPr>
        <w:t xml:space="preserve">本次不纳入建设范围、不列支预算</w:t>
      </w:r>
      <w:r>
        <w:rPr>
          <w:rFonts w:ascii="Times New Roman" w:hAnsi="Times New Roman" w:eastAsia="宋体"/>
          <w:sz w:val="21"/>
          <w:szCs w:val="21"/>
        </w:rPr>
        <w:t xml:space="preserve">，后续视实际需要另行论证：</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内容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原项目已有基础</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视频智能识别增强（动作级识别、夜间识别、跨点位重识别）</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AI中台第24-27项算法场景适配服务</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执法调度派单智能化及处置结果回流训练</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智能预警子系统预警闭环处理；指挥调度子系统预案启动与协同会商</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自然语言数据查询与智能报表</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数据能力数据建模可视化；业务能力中心报表引擎</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智能巡查增强（人员轨迹、影像水印归档、巡查质检）</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执勤点船舶定位系统；巡查执勤处置子系统巡查路径管理</w:t>
            </w:r>
          </w:p>
        </w:tc>
      </w:tr>
    </w:tbl>
    <w:p>
      <w:pPr>
        <w:spacing w:before="0" w:after="60"/>
      </w:pPr>
    </w:p>
    <w:p>
      <w:pPr>
        <w:spacing w:before="60" w:after="60" w:line="300" w:lineRule="auto"/>
      </w:pPr>
      <w:r>
        <w:rPr>
          <w:rFonts w:ascii="Times New Roman" w:hAnsi="Times New Roman" w:eastAsia="宋体"/>
          <w:sz w:val="21"/>
          <w:szCs w:val="21"/>
        </w:rPr>
        <w:t xml:space="preserve">上述四项不属于原招标合同约定的建设内容，本次亦不列支预算，</w:t>
      </w:r>
      <w:r>
        <w:rPr>
          <w:rFonts w:ascii="Times New Roman" w:hAnsi="Times New Roman" w:eastAsia="宋体"/>
          <w:b/>
          <w:bCs/>
          <w:sz w:val="21"/>
          <w:szCs w:val="21"/>
        </w:rPr>
        <w:t xml:space="preserve">不构成对原项目承建单位的额外履约要求</w:t>
      </w:r>
      <w:r>
        <w:rPr>
          <w:rFonts w:ascii="Times New Roman" w:hAnsi="Times New Roman" w:eastAsia="宋体"/>
          <w:sz w:val="21"/>
          <w:szCs w:val="21"/>
        </w:rPr>
        <w:t xml:space="preserve">。</w:t>
      </w:r>
    </w:p>
    <w:p>
      <w:pPr>
        <w:pStyle w:val="Heading3"/>
        <w:spacing w:before="280" w:after="140" w:line="288" w:lineRule="auto"/>
      </w:pPr>
      <w:r>
        <w:rPr>
          <w:rFonts w:ascii="Arial" w:hAnsi="Arial" w:eastAsia="黑体"/>
          <w:b/>
          <w:bCs/>
          <w:sz w:val="25"/>
          <w:szCs w:val="25"/>
        </w:rPr>
        <w:t xml:space="preserve">（五）技术路线与部署方案</w:t>
      </w:r>
    </w:p>
    <w:p>
      <w:pPr>
        <w:spacing w:before="60" w:after="60" w:line="300" w:lineRule="auto"/>
      </w:pPr>
      <w:r>
        <w:rPr>
          <w:rFonts w:ascii="Times New Roman" w:hAnsi="Times New Roman" w:eastAsia="宋体"/>
          <w:b/>
          <w:bCs/>
          <w:sz w:val="21"/>
          <w:szCs w:val="21"/>
        </w:rPr>
        <w:t xml:space="preserve">部署方式：</w:t>
      </w:r>
      <w:r>
        <w:rPr>
          <w:rFonts w:ascii="Times New Roman" w:hAnsi="Times New Roman" w:eastAsia="宋体"/>
          <w:sz w:val="21"/>
          <w:szCs w:val="21"/>
        </w:rPr>
        <w:t xml:space="preserve"> 全部大模型推理、知识库检索、智能体调度运算在江苏省政务云内网闭环运行，与公共互联网隔离，执法敏感数据不出域。</w:t>
      </w:r>
    </w:p>
    <w:p>
      <w:pPr>
        <w:spacing w:before="60" w:after="60" w:line="300" w:lineRule="auto"/>
      </w:pPr>
      <w:r>
        <w:rPr>
          <w:rFonts w:ascii="Times New Roman" w:hAnsi="Times New Roman" w:eastAsia="宋体"/>
          <w:b/>
          <w:bCs/>
          <w:sz w:val="21"/>
          <w:szCs w:val="21"/>
        </w:rPr>
        <w:t xml:space="preserve">国产化适配：</w:t>
      </w:r>
      <w:r>
        <w:rPr>
          <w:rFonts w:ascii="Times New Roman" w:hAnsi="Times New Roman" w:eastAsia="宋体"/>
          <w:sz w:val="21"/>
          <w:szCs w:val="21"/>
        </w:rPr>
        <w:t xml:space="preserve"> 底层大模型选用国产模型，运行于国产AI加速卡、国产CPU与国产操作系统，符合信创要求，与原项目全栈国产化技术路线一致。</w:t>
      </w:r>
    </w:p>
    <w:p>
      <w:pPr>
        <w:spacing w:before="60" w:after="60" w:line="300" w:lineRule="auto"/>
      </w:pPr>
      <w:r>
        <w:rPr>
          <w:rFonts w:ascii="Times New Roman" w:hAnsi="Times New Roman" w:eastAsia="宋体"/>
          <w:b/>
          <w:bCs/>
          <w:sz w:val="21"/>
          <w:szCs w:val="21"/>
        </w:rPr>
        <w:t xml:space="preserve">安全等级：</w:t>
      </w:r>
      <w:r>
        <w:rPr>
          <w:rFonts w:ascii="Times New Roman" w:hAnsi="Times New Roman" w:eastAsia="宋体"/>
          <w:sz w:val="21"/>
          <w:szCs w:val="21"/>
        </w:rPr>
        <w:t xml:space="preserve"> 符合网络安全等级保护三级要求。日志留存执行分类要求——系统运行与操作日志留存不少于6个月；AI参与执法研判形成的决策链记录，作为办案过程材料随案卷按行政执法档案管理规定的期限留存。</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五、建设条件落实情况</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条件项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落实情况</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业务底座</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已具备。在建平台已建成多源预警、指挥调度、移动执法、案件办理、数据存储、视频联动全流程底座，可为本次建设提供数据来源、业务接口与执行出口</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视频识别算力</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已具备。原项目已配置网络硬盘录像机32台，招标文件明确该设备内置GPU、支持导入视觉大模型及第三方算法插件，本次无需新增视频算力</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大模型推理算力</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待确认。拟依托省政务云国产化算力资源，采用私有化部署方式。所需技术指标见下表。</w:t>
            </w:r>
            <w:r>
              <w:rPr>
                <w:rFonts w:ascii="Times New Roman" w:hAnsi="Times New Roman" w:eastAsia="宋体"/>
                <w:b/>
                <w:bCs/>
                <w:sz w:val="18"/>
                <w:szCs w:val="18"/>
              </w:rPr>
              <w:t xml:space="preserve">该资源由省政务云统一统筹供给或集中采购，不纳入本项目预算</w:t>
            </w:r>
            <w:r>
              <w:rPr>
                <w:rFonts w:ascii="Times New Roman" w:hAnsi="Times New Roman" w:eastAsia="宋体"/>
                <w:sz w:val="18"/>
                <w:szCs w:val="18"/>
              </w:rPr>
              <w:t xml:space="preserve">，需提请省数据局出具资源供给条件确认意见</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网络环境</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已具备。依托"苏农云"网络架构，政务内网千兆以上接入，与互联网隔离</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技术成熟度</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已具备。多智能体协同、检索增强生成、自然语言解析、全链路审计均为工程化应用技术，无技术攻关风险</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接口开放</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需落实。本次建设依赖在建平台开放云台控制、工单下发、数据查询等接口，建议形成《接口开放清单》，明确接口范围与开放时间</w:t>
            </w:r>
          </w:p>
        </w:tc>
      </w:tr>
    </w:tbl>
    <w:p>
      <w:pPr>
        <w:spacing w:before="0" w:after="60"/>
      </w:pPr>
    </w:p>
    <w:p>
      <w:pPr>
        <w:spacing w:before="60" w:after="60" w:line="300" w:lineRule="auto"/>
      </w:pPr>
      <w:r>
        <w:rPr>
          <w:rFonts w:ascii="Times New Roman" w:hAnsi="Times New Roman" w:eastAsia="宋体"/>
          <w:b/>
          <w:bCs/>
          <w:sz w:val="21"/>
          <w:szCs w:val="21"/>
        </w:rPr>
        <w:t xml:space="preserve">大模型推理算力技术指标：</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配置项</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技术指标要求</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说明</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AI加速卡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列入信创产品目录的国产AI加速卡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满足国产化要求，不指定品牌型号</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单卡显存</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≥64GB</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支撑大模型推理与多智能体并发运行</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单卡算力</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≥300 TFLOPS（FP16）</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满足多场景同步推理需求</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数量</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2张</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1张承担主推理，1张承担并发负载与冗余</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服务器</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国产CPU、国产操作系统，支持双加速卡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适配信创软硬件生态</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存储</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≥2TB NVMe SSD</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用于模型权重、向量知识库、审计日志存储</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网络</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政务内网千兆以上接入，与互联网隔离</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保障数据安全合规</w:t>
            </w:r>
          </w:p>
        </w:tc>
      </w:tr>
    </w:tbl>
    <w:p>
      <w:pPr>
        <w:spacing w:before="0" w:after="60"/>
      </w:pPr>
    </w:p>
    <w:p>
      <w:pPr>
        <w:spacing w:before="60" w:after="60" w:line="300" w:lineRule="auto"/>
      </w:pPr>
      <w:r>
        <w:rPr>
          <w:rFonts w:ascii="Times New Roman" w:hAnsi="Times New Roman" w:eastAsia="宋体"/>
          <w:b/>
          <w:bCs/>
          <w:sz w:val="21"/>
          <w:szCs w:val="21"/>
        </w:rPr>
        <w:t xml:space="preserve">运行成本说明：</w:t>
      </w:r>
      <w:r>
        <w:rPr>
          <w:rFonts w:ascii="Times New Roman" w:hAnsi="Times New Roman" w:eastAsia="宋体"/>
          <w:sz w:val="21"/>
          <w:szCs w:val="21"/>
        </w:rPr>
        <w:t xml:space="preserve"> 本项目采用私有化部署，不产生按调用量计费的大模型服务费用；算力资源的采购与运维成本由省政务云承担，不构成本项目支出，但属于财政资金全口径范围，已在算力资源申请中一并说明。</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六、投资估算与资金来源</w:t>
      </w:r>
    </w:p>
    <w:p>
      <w:pPr>
        <w:pStyle w:val="Heading3"/>
        <w:spacing w:before="280" w:after="140" w:line="288" w:lineRule="auto"/>
      </w:pPr>
      <w:r>
        <w:rPr>
          <w:rFonts w:ascii="Arial" w:hAnsi="Arial" w:eastAsia="黑体"/>
          <w:b/>
          <w:bCs/>
          <w:sz w:val="25"/>
          <w:szCs w:val="25"/>
        </w:rPr>
        <w:t xml:space="preserve">（一）估算依据</w:t>
      </w:r>
    </w:p>
    <w:p>
      <w:pPr>
        <w:spacing w:before="60" w:after="60" w:line="300" w:lineRule="auto"/>
        <w:ind w:firstLine="0" w:left="360"/>
      </w:pPr>
      <w:r>
        <w:rPr>
          <w:rFonts w:ascii="Times New Roman" w:hAnsi="Times New Roman" w:eastAsia="宋体"/>
          <w:sz w:val="21"/>
          <w:szCs w:val="21"/>
        </w:rPr>
        <w:t xml:space="preserve">1. 参照《软件工程 软件开发成本度量规范》（GB/T 36964-2018）测算工作量；</w:t>
      </w:r>
    </w:p>
    <w:p>
      <w:pPr>
        <w:spacing w:before="60" w:after="60" w:line="300" w:lineRule="auto"/>
        <w:ind w:firstLine="0" w:left="360"/>
      </w:pPr>
      <w:r>
        <w:rPr>
          <w:rFonts w:ascii="Times New Roman" w:hAnsi="Times New Roman" w:eastAsia="宋体"/>
          <w:sz w:val="21"/>
          <w:szCs w:val="21"/>
        </w:rPr>
        <w:t xml:space="preserve">2. 采用人天法测算，加权平均单价2,000元／人天，岗位配置包括系统架构师、AI高级工程师、高级开发工程师、中级开发工程师，结合省内同类政务信息化项目造价水平确定；</w:t>
      </w:r>
    </w:p>
    <w:p>
      <w:pPr>
        <w:spacing w:before="60" w:after="60" w:line="300" w:lineRule="auto"/>
        <w:ind w:firstLine="0" w:left="360"/>
      </w:pPr>
      <w:r>
        <w:rPr>
          <w:rFonts w:ascii="Times New Roman" w:hAnsi="Times New Roman" w:eastAsia="宋体"/>
          <w:sz w:val="21"/>
          <w:szCs w:val="21"/>
        </w:rPr>
        <w:t xml:space="preserve">3. 原招标文件第四章采购需求及本次逐条比对结果，作为建设内容与复用边界的确定依据。</w:t>
      </w:r>
    </w:p>
    <w:p>
      <w:pPr>
        <w:pStyle w:val="Heading3"/>
        <w:spacing w:before="280" w:after="140" w:line="288" w:lineRule="auto"/>
      </w:pPr>
      <w:r>
        <w:rPr>
          <w:rFonts w:ascii="Arial" w:hAnsi="Arial" w:eastAsia="黑体"/>
          <w:b/>
          <w:bCs/>
          <w:sz w:val="25"/>
          <w:szCs w:val="25"/>
        </w:rPr>
        <w:t xml:space="preserve">（二）投资估算</w:t>
      </w:r>
    </w:p>
    <w:p>
      <w:pPr>
        <w:spacing w:before="60" w:after="60" w:line="300" w:lineRule="auto"/>
      </w:pPr>
      <w:r>
        <w:rPr>
          <w:rFonts w:ascii="Times New Roman" w:hAnsi="Times New Roman" w:eastAsia="宋体"/>
          <w:b/>
          <w:bCs/>
          <w:sz w:val="21"/>
          <w:szCs w:val="21"/>
        </w:rPr>
        <w:t xml:space="preserve">按费用科目：</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费用科目</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工作量（人天）</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金额（万元）</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占比</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软件开发费</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365</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73.0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89.02%</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测试与评测费</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35</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8.54%</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系统集成费</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2.44%</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硬件购置费</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0</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合计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410</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82.0</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100.00%</w:t>
            </w:r>
          </w:p>
        </w:tc>
      </w:tr>
    </w:tbl>
    <w:p>
      <w:pPr>
        <w:spacing w:before="0" w:after="60"/>
      </w:pPr>
    </w:p>
    <w:p>
      <w:pPr>
        <w:spacing w:before="60" w:after="60" w:line="300" w:lineRule="auto"/>
      </w:pPr>
      <w:r>
        <w:rPr>
          <w:rFonts w:ascii="Times New Roman" w:hAnsi="Times New Roman" w:eastAsia="宋体"/>
          <w:b/>
          <w:bCs/>
          <w:sz w:val="21"/>
          <w:szCs w:val="21"/>
        </w:rPr>
        <w:t xml:space="preserve">按建设内容：</w:t>
      </w:r>
      <w:r>
        <w:rPr>
          <w:rFonts w:ascii="Times New Roman" w:hAnsi="Times New Roman" w:eastAsia="宋体"/>
          <w:sz w:val="21"/>
          <w:szCs w:val="21"/>
        </w:rPr>
        <w:t xml:space="preserve"> 详见第四章第三节，9项内容合计410人天、82.0万元。</w:t>
      </w:r>
    </w:p>
    <w:p>
      <w:pPr>
        <w:pStyle w:val="Heading3"/>
        <w:spacing w:before="280" w:after="140" w:line="288" w:lineRule="auto"/>
      </w:pPr>
      <w:r>
        <w:rPr>
          <w:rFonts w:ascii="Arial" w:hAnsi="Arial" w:eastAsia="黑体"/>
          <w:b/>
          <w:bCs/>
          <w:sz w:val="25"/>
          <w:szCs w:val="25"/>
        </w:rPr>
        <w:t xml:space="preserve">（三）资金来源</w:t>
      </w:r>
    </w:p>
    <w:p>
      <w:pPr>
        <w:spacing w:before="60" w:after="60" w:line="300" w:lineRule="auto"/>
      </w:pPr>
      <w:r>
        <w:rPr>
          <w:rFonts w:ascii="Times New Roman" w:hAnsi="Times New Roman" w:eastAsia="宋体"/>
          <w:sz w:val="21"/>
          <w:szCs w:val="21"/>
        </w:rPr>
        <w:t xml:space="preserve">【由项目单位按实际情况填写。常见方式：①省级财政预算安排；②原项目批复投资内调剂；③部门预算安排。资金来源与第三章审批路径的选择相关联，建议一并明确。】</w:t>
      </w:r>
    </w:p>
    <w:p>
      <w:pPr>
        <w:pStyle w:val="Heading3"/>
        <w:spacing w:before="280" w:after="140" w:line="288" w:lineRule="auto"/>
      </w:pPr>
      <w:r>
        <w:rPr>
          <w:rFonts w:ascii="Arial" w:hAnsi="Arial" w:eastAsia="黑体"/>
          <w:b/>
          <w:bCs/>
          <w:sz w:val="25"/>
          <w:szCs w:val="25"/>
        </w:rPr>
        <w:t xml:space="preserve">（四）估算精度</w:t>
      </w:r>
    </w:p>
    <w:p>
      <w:pPr>
        <w:spacing w:before="60" w:after="60" w:line="300" w:lineRule="auto"/>
      </w:pPr>
      <w:r>
        <w:rPr>
          <w:rFonts w:ascii="Times New Roman" w:hAnsi="Times New Roman" w:eastAsia="宋体"/>
          <w:sz w:val="21"/>
          <w:szCs w:val="21"/>
        </w:rPr>
        <w:t xml:space="preserve">本阶段为项目建议书估算，允许误差±20%，最终投资额以可行性研究报告批复及财政评审结果为准。</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七、效益分析</w:t>
      </w:r>
    </w:p>
    <w:p>
      <w:pPr>
        <w:spacing w:before="60" w:after="60" w:line="300" w:lineRule="auto"/>
      </w:pPr>
      <w:r>
        <w:rPr>
          <w:rFonts w:ascii="Times New Roman" w:hAnsi="Times New Roman" w:eastAsia="宋体"/>
          <w:sz w:val="21"/>
          <w:szCs w:val="21"/>
        </w:rPr>
        <w:t xml:space="preserve">本项目为公益性执法监管能力建设项目，不产生直接经济收益，效益主要体现在社会效益与生态效益方面。</w:t>
      </w:r>
    </w:p>
    <w:p>
      <w:pPr>
        <w:pStyle w:val="Heading3"/>
        <w:spacing w:before="280" w:after="140" w:line="288" w:lineRule="auto"/>
      </w:pPr>
      <w:r>
        <w:rPr>
          <w:rFonts w:ascii="Arial" w:hAnsi="Arial" w:eastAsia="黑体"/>
          <w:b/>
          <w:bCs/>
          <w:sz w:val="25"/>
          <w:szCs w:val="25"/>
        </w:rPr>
        <w:t xml:space="preserve">（一）社会效益</w:t>
      </w:r>
    </w:p>
    <w:p>
      <w:pPr>
        <w:spacing w:before="60" w:after="60" w:line="300" w:lineRule="auto"/>
      </w:pPr>
      <w:r>
        <w:rPr>
          <w:rFonts w:ascii="Times New Roman" w:hAnsi="Times New Roman" w:eastAsia="宋体"/>
          <w:b/>
          <w:bCs/>
          <w:sz w:val="21"/>
          <w:szCs w:val="21"/>
        </w:rPr>
        <w:t xml:space="preserve">1. 提升执法响应效能。</w:t>
      </w:r>
      <w:r>
        <w:rPr>
          <w:rFonts w:ascii="Times New Roman" w:hAnsi="Times New Roman" w:eastAsia="宋体"/>
          <w:sz w:val="21"/>
          <w:szCs w:val="21"/>
        </w:rPr>
        <w:t xml:space="preserve"> 违规线索的合规研判环节由人工查阅法条案例改为系统自动匹配，研判周期由"天"级缩短至"分钟"级，缩短从发现到出警的响应链路。</w:t>
      </w:r>
    </w:p>
    <w:p>
      <w:pPr>
        <w:spacing w:before="60" w:after="60" w:line="300" w:lineRule="auto"/>
      </w:pPr>
      <w:r>
        <w:rPr>
          <w:rFonts w:ascii="Times New Roman" w:hAnsi="Times New Roman" w:eastAsia="宋体"/>
          <w:b/>
          <w:bCs/>
          <w:sz w:val="21"/>
          <w:szCs w:val="21"/>
        </w:rPr>
        <w:t xml:space="preserve">2. 提升执法规范化水平。</w:t>
      </w:r>
      <w:r>
        <w:rPr>
          <w:rFonts w:ascii="Times New Roman" w:hAnsi="Times New Roman" w:eastAsia="宋体"/>
          <w:sz w:val="21"/>
          <w:szCs w:val="21"/>
        </w:rPr>
        <w:t xml:space="preserve"> 所有AI研判结论强制附法条原文引用，无法规依据时禁止输出结论，有利于减少执法尺度不一问题；全链路留痕使执法过程可回溯、责任可界定。</w:t>
      </w:r>
    </w:p>
    <w:p>
      <w:pPr>
        <w:spacing w:before="60" w:after="60" w:line="300" w:lineRule="auto"/>
      </w:pPr>
      <w:r>
        <w:rPr>
          <w:rFonts w:ascii="Times New Roman" w:hAnsi="Times New Roman" w:eastAsia="宋体"/>
          <w:b/>
          <w:bCs/>
          <w:sz w:val="21"/>
          <w:szCs w:val="21"/>
        </w:rPr>
        <w:t xml:space="preserve">3. 缓解基层执法压力。</w:t>
      </w:r>
      <w:r>
        <w:rPr>
          <w:rFonts w:ascii="Times New Roman" w:hAnsi="Times New Roman" w:eastAsia="宋体"/>
          <w:sz w:val="21"/>
          <w:szCs w:val="21"/>
        </w:rPr>
        <w:t xml:space="preserve"> 跨模块数据调取、线索串联、工单填报等事务性工作由系统自动完成，执法人员可将精力集中于现场处置与决策确认环节。</w:t>
      </w:r>
    </w:p>
    <w:p>
      <w:pPr>
        <w:spacing w:before="60" w:after="60" w:line="300" w:lineRule="auto"/>
      </w:pPr>
      <w:r>
        <w:rPr>
          <w:rFonts w:ascii="Times New Roman" w:hAnsi="Times New Roman" w:eastAsia="宋体"/>
          <w:b/>
          <w:bCs/>
          <w:sz w:val="21"/>
          <w:szCs w:val="21"/>
        </w:rPr>
        <w:t xml:space="preserve">4. 支撑执法监督与案件质量管理。</w:t>
      </w:r>
      <w:r>
        <w:rPr>
          <w:rFonts w:ascii="Times New Roman" w:hAnsi="Times New Roman" w:eastAsia="宋体"/>
          <w:sz w:val="21"/>
          <w:szCs w:val="21"/>
        </w:rPr>
        <w:t xml:space="preserve"> AI决策链记录与案件质量核查相结合，为执法监督考评提供数据支撑。</w:t>
      </w:r>
    </w:p>
    <w:p>
      <w:pPr>
        <w:pStyle w:val="Heading3"/>
        <w:spacing w:before="280" w:after="140" w:line="288" w:lineRule="auto"/>
      </w:pPr>
      <w:r>
        <w:rPr>
          <w:rFonts w:ascii="Arial" w:hAnsi="Arial" w:eastAsia="黑体"/>
          <w:b/>
          <w:bCs/>
          <w:sz w:val="25"/>
          <w:szCs w:val="25"/>
        </w:rPr>
        <w:t xml:space="preserve">（二）生态效益</w:t>
      </w:r>
    </w:p>
    <w:p>
      <w:pPr>
        <w:spacing w:before="60" w:after="60" w:line="300" w:lineRule="auto"/>
      </w:pPr>
      <w:r>
        <w:rPr>
          <w:rFonts w:ascii="Times New Roman" w:hAnsi="Times New Roman" w:eastAsia="宋体"/>
          <w:sz w:val="21"/>
          <w:szCs w:val="21"/>
        </w:rPr>
        <w:t xml:space="preserve">支撑长江十年禁渔各项措施落实，提升省管湖泊水生生物保护区的监管覆盖面与处置及时性，服务长江流域生态环境保护与水生生物资源恢复。</w:t>
      </w:r>
    </w:p>
    <w:p>
      <w:pPr>
        <w:pStyle w:val="Heading3"/>
        <w:spacing w:before="280" w:after="140" w:line="288" w:lineRule="auto"/>
      </w:pPr>
      <w:r>
        <w:rPr>
          <w:rFonts w:ascii="Arial" w:hAnsi="Arial" w:eastAsia="黑体"/>
          <w:b/>
          <w:bCs/>
          <w:sz w:val="25"/>
          <w:szCs w:val="25"/>
        </w:rPr>
        <w:t xml:space="preserve">（三）可持续影响</w:t>
      </w:r>
    </w:p>
    <w:p>
      <w:pPr>
        <w:spacing w:before="60" w:after="60" w:line="300" w:lineRule="auto"/>
      </w:pPr>
      <w:r>
        <w:rPr>
          <w:rFonts w:ascii="Times New Roman" w:hAnsi="Times New Roman" w:eastAsia="宋体"/>
          <w:sz w:val="21"/>
          <w:szCs w:val="21"/>
        </w:rPr>
        <w:t xml:space="preserve">本次建设形成的法规知识库、案例库、执法人员与船舶画像数据、场景评测集，属于可持续积累的数据资产，不随技术迭代贬值；配套建设的统一模型网关使底层大模型可替换而不改动业务代码，避免技术路线锁定，为后续能力扩展保留空间。</w:t>
      </w:r>
    </w:p>
    <w:p>
      <w:pPr>
        <w:pStyle w:val="Heading3"/>
        <w:spacing w:before="280" w:after="140" w:line="288" w:lineRule="auto"/>
      </w:pPr>
      <w:r>
        <w:rPr>
          <w:rFonts w:ascii="Arial" w:hAnsi="Arial" w:eastAsia="黑体"/>
          <w:b/>
          <w:bCs/>
          <w:sz w:val="25"/>
          <w:szCs w:val="25"/>
        </w:rPr>
        <w:t xml:space="preserve">（四）成本节约说明</w:t>
      </w:r>
    </w:p>
    <w:p>
      <w:pPr>
        <w:spacing w:before="60" w:after="60" w:line="300" w:lineRule="auto"/>
      </w:pPr>
      <w:r>
        <w:rPr>
          <w:rFonts w:ascii="Times New Roman" w:hAnsi="Times New Roman" w:eastAsia="宋体"/>
          <w:sz w:val="21"/>
          <w:szCs w:val="21"/>
        </w:rPr>
        <w:t xml:space="preserve">本项目通过复用原项目已建成的14项能力，避免了对NLP服务、人脸识别、事件中心、报表引擎、数据存储、移动端等能力的重复建设；视频识别算力复用原项目已配设备，大模型算力由省政务云统筹，本项目无硬件购置支出。</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八、绩效目标</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指标类别</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指标名称</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目标值</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产出指标—数量</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建成AI智能体核心能力模块</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6项</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建成配套保障事项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3项</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法规、裁量基准、典型案例入库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覆盖渔政执法常用条款与本省典型案例</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产出指标—质量</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AI研判结论法条引用准确率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100%</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无法规依据场景强制转人工比例</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100%</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高风险操作人工确认比例</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100%</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AI决策全过程可追溯率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100%</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产出指标—时效</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项目建设周期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≤14周</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单条预警AI辅助研判响应时间</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≤5分钟</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产出指标—成本</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项目总投资</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≤82万元</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效益指标—社会效益</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违规线索合规研判周期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由"天"级缩短至"分钟"级</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单条线索跨模块人工操作环节</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显著减少</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效益指标—可持续影响</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场景评测集与回归测试机制</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建成并投入常态化运行</w:t>
            </w:r>
          </w:p>
        </w:tc>
      </w:tr>
      <w:tr>
        <w:tc>
          <w:tcPr>
            <w:tcW w:w="2120" w:type="dxa"/>
            <w:tcMar>
              <w:top w:w="40" w:type="dxa"/>
              <w:left w:w="70" w:type="dxa"/>
              <w:bottom w:w="40" w:type="dxa"/>
              <w:right w:w="70" w:type="dxa"/>
            </w:tcMar>
            <w:vAlign w:val="top"/>
          </w:tcPr>
          <w:p>
            <w:pPr>
              <w:spacing w:before="20" w:after="20" w:line="264" w:lineRule="auto"/>
            </w:pPr>
            <w:r>
              <w:t xml:space="preserve"/>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大模型可替换性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通过模型网关实现，替换不改动业务代码</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满意度指标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一线执法人员对AI辅助功能满意度</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≥85%</w:t>
            </w:r>
          </w:p>
        </w:tc>
      </w:tr>
    </w:tbl>
    <w:p>
      <w:pPr>
        <w:spacing w:before="0" w:after="60"/>
      </w:pPr>
    </w:p>
    <w:p>
      <w:pPr>
        <w:spacing w:before="60" w:after="60" w:line="300" w:lineRule="auto"/>
      </w:pPr>
      <w:r>
        <w:rPr>
          <w:rFonts w:ascii="Times New Roman" w:hAnsi="Times New Roman" w:eastAsia="宋体"/>
          <w:b/>
          <w:bCs/>
          <w:sz w:val="21"/>
          <w:szCs w:val="21"/>
        </w:rPr>
        <w:t xml:space="preserve">绩效评价方式：</w:t>
      </w:r>
      <w:r>
        <w:rPr>
          <w:rFonts w:ascii="Times New Roman" w:hAnsi="Times New Roman" w:eastAsia="宋体"/>
          <w:sz w:val="21"/>
          <w:szCs w:val="21"/>
        </w:rPr>
        <w:t xml:space="preserve"> 项目验收时对产出指标逐项核验；效益指标与满意度指标在系统运行满6个月后组织评价。</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九、风险分析与保障措施</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风险项</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风险描述</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应对措施</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算力资源落实风险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省政务云国产化算力资源供给条件未确认，可能影响开工时间</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项目批复后即向省数据局提出资源申请，取得书面确认后再启动第一阶段建设；在资源到位前可先行开展知识库整理等不依赖算力的工作</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接口开放风险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本次建设依赖在建平台开放云台控制、工单下发、数据查询等接口</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由项目单位牵头形成《接口开放清单》，逐项明确接口范围、协议与开放时间，作为实施前置条件</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进度衔接风险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原项目正在建设中，两个项目并行可能产生资源冲突</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采用增量部署方式独立运行，不修改原平台代码；建设与测试环境相互隔离，不影响原项目验收</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AI应用合规风险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AI参与执法研判涉及责任界定</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固化"AI只出建议、人工作决定"原则；建设全链路审计能力；AI能力可一键停用回退人工流程；相关责任边界报请法制机构确认</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数据安全风险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涉及重点人员信息、案件证据等敏感数据</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全部推理在政务内网闭环，数据不出域；执行RBAC最小权限管控；敏感字段脱敏；操作全程留痕；符合等保三级与密码应用要求</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效果不达预期风险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AI研判准确性可能达不到预期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建设场景评测集与回归测试机制，模型变更后自动验证；设置置信度阈值，不达标自动转人工，不影响业务正常办理</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技术迭代风险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大模型技术快速演进，可能导致所选模型过时</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通过统一模型网关实现模型可替换；知识库、画像数据、评测集等核心资产与模型解耦，不随模型换代贬值</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运营闲置风险</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系统建成后缺乏持续运营导致功能闲置</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建立月度评估例会制度，对研判准确率、任务闭环率、人工采纳率等指标常态化监测；明确专人负责标注复核与效果评估</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十、结论与建议</w:t>
      </w:r>
    </w:p>
    <w:p>
      <w:pPr>
        <w:pStyle w:val="Heading3"/>
        <w:spacing w:before="280" w:after="140" w:line="288" w:lineRule="auto"/>
      </w:pPr>
      <w:r>
        <w:rPr>
          <w:rFonts w:ascii="Arial" w:hAnsi="Arial" w:eastAsia="黑体"/>
          <w:b/>
          <w:bCs/>
          <w:sz w:val="25"/>
          <w:szCs w:val="25"/>
        </w:rPr>
        <w:t xml:space="preserve">（一）结论</w:t>
      </w:r>
    </w:p>
    <w:p>
      <w:pPr>
        <w:spacing w:before="60" w:after="60" w:line="300" w:lineRule="auto"/>
      </w:pPr>
      <w:r>
        <w:rPr>
          <w:rFonts w:ascii="Times New Roman" w:hAnsi="Times New Roman" w:eastAsia="宋体"/>
          <w:b/>
          <w:bCs/>
          <w:sz w:val="21"/>
          <w:szCs w:val="21"/>
        </w:rPr>
        <w:t xml:space="preserve">1. 建设必要。</w:t>
      </w:r>
      <w:r>
        <w:rPr>
          <w:rFonts w:ascii="Times New Roman" w:hAnsi="Times New Roman" w:eastAsia="宋体"/>
          <w:sz w:val="21"/>
          <w:szCs w:val="21"/>
        </w:rPr>
        <w:t xml:space="preserve"> 项目符合长江十年禁渔法定职责要求，针对基层执法人力不足、人工研判效率低、系统能力固化等实际问题，是在建平台智能化能力的必要补充。</w:t>
      </w:r>
    </w:p>
    <w:p>
      <w:pPr>
        <w:spacing w:before="60" w:after="60" w:line="300" w:lineRule="auto"/>
      </w:pPr>
      <w:r>
        <w:rPr>
          <w:rFonts w:ascii="Times New Roman" w:hAnsi="Times New Roman" w:eastAsia="宋体"/>
          <w:b/>
          <w:bCs/>
          <w:sz w:val="21"/>
          <w:szCs w:val="21"/>
        </w:rPr>
        <w:t xml:space="preserve">2. 边界清晰、不重复建设。</w:t>
      </w:r>
      <w:r>
        <w:rPr>
          <w:rFonts w:ascii="Times New Roman" w:hAnsi="Times New Roman" w:eastAsia="宋体"/>
          <w:sz w:val="21"/>
          <w:szCs w:val="21"/>
        </w:rPr>
        <w:t xml:space="preserve"> 经与原招标文件第四章"2.软件开发"287项功能条目逐条比对，本次9项建设内容均为原招标文件未覆盖的增量内容；14项已建成能力直接复用不投入工作量；4项深化内容不纳入本次范围。</w:t>
      </w:r>
    </w:p>
    <w:p>
      <w:pPr>
        <w:spacing w:before="60" w:after="60" w:line="300" w:lineRule="auto"/>
      </w:pPr>
      <w:r>
        <w:rPr>
          <w:rFonts w:ascii="Times New Roman" w:hAnsi="Times New Roman" w:eastAsia="宋体"/>
          <w:b/>
          <w:bCs/>
          <w:sz w:val="21"/>
          <w:szCs w:val="21"/>
        </w:rPr>
        <w:t xml:space="preserve">3. 投资合理。</w:t>
      </w:r>
      <w:r>
        <w:rPr>
          <w:rFonts w:ascii="Times New Roman" w:hAnsi="Times New Roman" w:eastAsia="宋体"/>
          <w:sz w:val="21"/>
          <w:szCs w:val="21"/>
        </w:rPr>
        <w:t xml:space="preserve"> 总投资82万元，全部为软件服务费用，无硬件购置支出；视频识别算力复用原项目设备，大模型算力由省政务云统筹，不占用本项目预算。</w:t>
      </w:r>
    </w:p>
    <w:p>
      <w:pPr>
        <w:spacing w:before="60" w:after="60" w:line="300" w:lineRule="auto"/>
      </w:pPr>
      <w:r>
        <w:rPr>
          <w:rFonts w:ascii="Times New Roman" w:hAnsi="Times New Roman" w:eastAsia="宋体"/>
          <w:b/>
          <w:bCs/>
          <w:sz w:val="21"/>
          <w:szCs w:val="21"/>
        </w:rPr>
        <w:t xml:space="preserve">4. 风险可控。</w:t>
      </w:r>
      <w:r>
        <w:rPr>
          <w:rFonts w:ascii="Times New Roman" w:hAnsi="Times New Roman" w:eastAsia="宋体"/>
          <w:sz w:val="21"/>
          <w:szCs w:val="21"/>
        </w:rPr>
        <w:t xml:space="preserve"> 技术成熟无攻关风险；增量部署、独立运行、可随时回退，不影响原项目功能完整性与竣工验收。</w:t>
      </w:r>
    </w:p>
    <w:p>
      <w:pPr>
        <w:pStyle w:val="Heading3"/>
        <w:spacing w:before="280" w:after="140" w:line="288" w:lineRule="auto"/>
      </w:pPr>
      <w:r>
        <w:rPr>
          <w:rFonts w:ascii="Arial" w:hAnsi="Arial" w:eastAsia="黑体"/>
          <w:b/>
          <w:bCs/>
          <w:sz w:val="25"/>
          <w:szCs w:val="25"/>
        </w:rPr>
        <w:t xml:space="preserve">（二）建议</w:t>
      </w:r>
    </w:p>
    <w:p>
      <w:pPr>
        <w:spacing w:before="60" w:after="60" w:line="300" w:lineRule="auto"/>
      </w:pPr>
      <w:r>
        <w:rPr>
          <w:rFonts w:ascii="Times New Roman" w:hAnsi="Times New Roman" w:eastAsia="宋体"/>
          <w:b/>
          <w:bCs/>
          <w:sz w:val="21"/>
          <w:szCs w:val="21"/>
        </w:rPr>
        <w:t xml:space="preserve">1. 请予立项。</w:t>
      </w:r>
      <w:r>
        <w:rPr>
          <w:rFonts w:ascii="Times New Roman" w:hAnsi="Times New Roman" w:eastAsia="宋体"/>
          <w:sz w:val="21"/>
          <w:szCs w:val="21"/>
        </w:rPr>
        <w:t xml:space="preserve"> 建议核定项目投资82万元、工作量410人天、建设期14周。</w:t>
      </w:r>
    </w:p>
    <w:p>
      <w:pPr>
        <w:spacing w:before="60" w:after="60" w:line="300" w:lineRule="auto"/>
      </w:pPr>
      <w:r>
        <w:rPr>
          <w:rFonts w:ascii="Times New Roman" w:hAnsi="Times New Roman" w:eastAsia="宋体"/>
          <w:b/>
          <w:bCs/>
          <w:sz w:val="21"/>
          <w:szCs w:val="21"/>
        </w:rPr>
        <w:t xml:space="preserve">2. 明确审批路径与资金来源。</w:t>
      </w:r>
      <w:r>
        <w:rPr>
          <w:rFonts w:ascii="Times New Roman" w:hAnsi="Times New Roman" w:eastAsia="宋体"/>
          <w:sz w:val="21"/>
          <w:szCs w:val="21"/>
        </w:rPr>
        <w:t xml:space="preserve"> 建议按第三章路径一，以原项目建设内容调整方式报批，并同步明确资金来源。</w:t>
      </w:r>
    </w:p>
    <w:p>
      <w:pPr>
        <w:spacing w:before="60" w:after="60" w:line="300" w:lineRule="auto"/>
      </w:pPr>
      <w:r>
        <w:rPr>
          <w:rFonts w:ascii="Times New Roman" w:hAnsi="Times New Roman" w:eastAsia="宋体"/>
          <w:b/>
          <w:bCs/>
          <w:sz w:val="21"/>
          <w:szCs w:val="21"/>
        </w:rPr>
        <w:t xml:space="preserve">3. 协调算力资源。</w:t>
      </w:r>
      <w:r>
        <w:rPr>
          <w:rFonts w:ascii="Times New Roman" w:hAnsi="Times New Roman" w:eastAsia="宋体"/>
          <w:sz w:val="21"/>
          <w:szCs w:val="21"/>
        </w:rPr>
        <w:t xml:space="preserve"> 提请协调省数据局，出具政务云国产化算力资源供给条件确认意见。</w:t>
      </w:r>
    </w:p>
    <w:p>
      <w:pPr>
        <w:spacing w:before="60" w:after="60" w:line="300" w:lineRule="auto"/>
      </w:pPr>
      <w:r>
        <w:rPr>
          <w:rFonts w:ascii="Times New Roman" w:hAnsi="Times New Roman" w:eastAsia="宋体"/>
          <w:b/>
          <w:bCs/>
          <w:sz w:val="21"/>
          <w:szCs w:val="21"/>
        </w:rPr>
        <w:t xml:space="preserve">4. 分阶段实施，合规底座先行。</w:t>
      </w:r>
      <w:r>
        <w:rPr>
          <w:rFonts w:ascii="Times New Roman" w:hAnsi="Times New Roman" w:eastAsia="宋体"/>
          <w:sz w:val="21"/>
          <w:szCs w:val="21"/>
        </w:rPr>
        <w:t xml:space="preserve"> 第一阶段（第1-4周）优先完成全链路审计与安全管控、法条知识库建设，确保AI执法应用合规先行；第二阶段（第5-8周）建成核心能力；第三阶段（第9-12周）全场景联调与安全测试；第四阶段（第13-14周）试运行与验收交付。</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附：分阶段实施计划</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42"/>
        <w:gridCol w:w="2313"/>
        <w:gridCol w:w="2891"/>
        <w:gridCol w:w="2892"/>
      </w:tblGrid>
      <w:tr>
        <w:trPr>
          <w:tblHeader/>
          <w:cantSplit/>
        </w:trPr>
        <w:tc>
          <w:tcPr>
            <w:tcW w:w="154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阶段</w:t>
            </w:r>
          </w:p>
        </w:tc>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周期</w:t>
            </w:r>
          </w:p>
        </w:tc>
        <w:tc>
          <w:tcPr>
            <w:tcW w:w="289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w:t>
            </w:r>
          </w:p>
        </w:tc>
        <w:tc>
          <w:tcPr>
            <w:tcW w:w="289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阶段成果</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第一阶段</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第1-4周</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政务云算力环境部署、大模型基座本地化部署、法条知识库建设、全链路审计与安全管控模块上线</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可完整演示一条决策链：某条预警进入后检索了哪几条法条、依据什么给出结论、置信度多少、由谁确认，全过程可回放、可导出</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第二阶段</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第5-8周</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多智能体协同调度中枢、自然语言指令转化、历史线索串联模块上线</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核心业务逻辑打通</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第三阶段</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第9-12周</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智能自动调取执行能力集成、全场景联调、安全渗透测试、回归测试</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具备试运行条件</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第四阶段</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第13-14周</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试运行、性能优化、指标校准、评测、资料归档、验收交付</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完成验收交付</w:t>
            </w:r>
          </w:p>
        </w:tc>
      </w:tr>
    </w:tbl>
    <w:p>
      <w:pPr>
        <w:spacing w:before="0" w:after="60"/>
      </w:pPr>
    </w:p>
    <w:sectPr>
      <w:pgSz w:w="11906" w:h="16838"/>
      <w:pgMar w:top="1247" w:right="1134" w:bottom="1247" w:left="1134"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rPr>
    </w:rPrDefault>
    <w:pPrDefault>
      <w:pPr>
        <w:spacing w:line="300" w:lineRule="auto"/>
      </w:pPr>
    </w:pPrDefault>
  </w:docDefaults>
  <w:style w:type="paragraph" w:default="1" w:styleId="Normal">
    <w:name w:val="Normal"/>
    <w:qFormat/>
  </w:style>
  <w:style w:type="paragraph" w:styleId="Heading1">
    <w:name w:val="heading 1"/>
    <w:basedOn w:val="Normal"/>
    <w:next w:val="Normal"/>
    <w:qFormat/>
    <w:pPr>
      <w:keepNext/>
      <w:outlineLvl w:val="0"/>
    </w:pPr>
    <w:rPr>
      <w:rFonts w:ascii="Arial" w:hAnsi="Arial" w:eastAsia="黑体"/>
      <w:b/>
      <w:sz w:val="44"/>
      <w:szCs w:val="44"/>
    </w:rPr>
  </w:style>
  <w:style w:type="paragraph" w:styleId="Heading2">
    <w:name w:val="heading 2"/>
    <w:basedOn w:val="Normal"/>
    <w:next w:val="Normal"/>
    <w:qFormat/>
    <w:pPr>
      <w:keepNext/>
      <w:outlineLvl w:val="1"/>
    </w:pPr>
    <w:rPr>
      <w:rFonts w:ascii="Arial" w:hAnsi="Arial" w:eastAsia="黑体"/>
      <w:b/>
      <w:sz w:val="30"/>
      <w:szCs w:val="30"/>
    </w:rPr>
  </w:style>
  <w:style w:type="paragraph" w:styleId="Heading3">
    <w:name w:val="heading 3"/>
    <w:basedOn w:val="Normal"/>
    <w:next w:val="Normal"/>
    <w:qFormat/>
    <w:pPr>
      <w:keepNext/>
      <w:outlineLvl w:val="2"/>
    </w:pPr>
    <w:rPr>
      <w:rFonts w:ascii="Arial" w:hAnsi="Arial" w:eastAsia="黑体"/>
      <w:b/>
      <w:sz w:val="25"/>
      <w:szCs w:val="25"/>
    </w:rPr>
  </w:style>
  <w:style w:type="paragraph" w:styleId="Heading4">
    <w:name w:val="heading 4"/>
    <w:basedOn w:val="Normal"/>
    <w:next w:val="Normal"/>
    <w:qFormat/>
    <w:pPr>
      <w:keepNext/>
      <w:outlineLvl w:val="3"/>
    </w:pPr>
    <w:rPr>
      <w:rFonts w:ascii="Arial" w:hAnsi="Arial" w:eastAsia="黑体"/>
      <w: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