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before="240" w:after="200" w:line="288" w:lineRule="auto"/>
        <w:jc w:val="center"/>
      </w:pPr>
      <w:r>
        <w:rPr>
          <w:rFonts w:ascii="Arial" w:hAnsi="Arial" w:eastAsia="黑体"/>
          <w:b/>
          <w:bCs/>
          <w:sz w:val="44"/>
          <w:szCs w:val="44"/>
        </w:rPr>
        <w:t xml:space="preserve">长江流域重点水域禁捕执法装备设施建设项目</w:t>
      </w: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AI智能体新增事项与标书内容对比说明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项目名称：</w:t>
      </w:r>
      <w:r>
        <w:rPr>
          <w:rFonts w:ascii="Times New Roman" w:hAnsi="Times New Roman" w:eastAsia="宋体"/>
          <w:sz w:val="21"/>
          <w:szCs w:val="21"/>
        </w:rPr>
        <w:t xml:space="preserve"> 长江流域重点水域禁捕执法装备设施建设项目——综合管理平台和电子围栏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项目编号：</w:t>
      </w:r>
      <w:r>
        <w:rPr>
          <w:rFonts w:ascii="Times New Roman" w:hAnsi="Times New Roman" w:eastAsia="宋体"/>
          <w:sz w:val="21"/>
          <w:szCs w:val="21"/>
        </w:rPr>
        <w:t xml:space="preserve"> JSZC-320000-SCZX-G2025-0529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编制日期：</w:t>
      </w:r>
      <w:r>
        <w:rPr>
          <w:rFonts w:ascii="Times New Roman" w:hAnsi="Times New Roman" w:eastAsia="宋体"/>
          <w:sz w:val="21"/>
          <w:szCs w:val="21"/>
        </w:rPr>
        <w:t xml:space="preserve"> 2026年9月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用途：</w:t>
      </w:r>
      <w:r>
        <w:rPr>
          <w:rFonts w:ascii="Times New Roman" w:hAnsi="Times New Roman" w:eastAsia="宋体"/>
          <w:sz w:val="21"/>
          <w:szCs w:val="21"/>
        </w:rPr>
        <w:t xml:space="preserve"> 变更事项与原招标内容的重复性核查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一、编制说明与核对方法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为确保本次新增事项与原招标内容的边界清晰、可核可查，编制过程采用以下方法，供核查时复核：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核对范围：</w:t>
      </w:r>
      <w:r>
        <w:rPr>
          <w:rFonts w:ascii="Times New Roman" w:hAnsi="Times New Roman" w:eastAsia="宋体"/>
          <w:sz w:val="21"/>
          <w:szCs w:val="21"/>
        </w:rPr>
        <w:t xml:space="preserve"> 招标文件第四章"五、技术要求（一）数量及技术要求"全部内容，重点为"2.软件开发"部分，同时核对规范编制、省管湖泊电子围栏系统、融合通信设备、多元联合感知平台、执勤点船舶定位系统及配套硬件清单。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核对基数：</w:t>
      </w:r>
      <w:r>
        <w:rPr>
          <w:rFonts w:ascii="Times New Roman" w:hAnsi="Times New Roman" w:eastAsia="宋体"/>
          <w:sz w:val="21"/>
          <w:szCs w:val="21"/>
        </w:rPr>
        <w:t xml:space="preserve"> "2.软件开发"共16个子系统／能力域、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287项功能条目</w:t>
      </w:r>
      <w:r>
        <w:rPr>
          <w:rFonts w:ascii="Times New Roman" w:hAnsi="Times New Roman" w:eastAsia="宋体"/>
          <w:sz w:val="21"/>
          <w:szCs w:val="21"/>
        </w:rPr>
        <w:t xml:space="preserve">，逐项分布如下：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42"/>
        <w:gridCol w:w="2313"/>
        <w:gridCol w:w="2891"/>
        <w:gridCol w:w="2892"/>
      </w:tblGrid>
      <w:tr>
        <w:trPr>
          <w:tblHeader/>
          <w:cantSplit/>
        </w:trPr>
        <w:tc>
          <w:tcPr>
            <w:tcW w:w="154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子系统／能力域</w:t>
            </w:r>
          </w:p>
        </w:tc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条目数</w:t>
            </w:r>
          </w:p>
        </w:tc>
        <w:tc>
          <w:tcPr>
            <w:tcW w:w="2891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子系统／能力域</w:t>
            </w:r>
          </w:p>
        </w:tc>
        <w:tc>
          <w:tcPr>
            <w:tcW w:w="289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条目数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一、门户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18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九、渔具鱼类鉴定子系统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二、指挥调度驾驶舱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37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十、执法办案应用子系统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三、智能预警子系统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22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十一、渔政装备管理应用子系统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四、重点人员管理子系统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十二、业务能力中心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五、巡查执勤处置子系统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十三、数据能力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31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六、指挥调度子系统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28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十四、AI中台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七、渔政队伍管理子系统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十五、服务监测能力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16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八、资源信息采集子系统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十六、系统对接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287</w:t>
            </w:r>
          </w:p>
        </w:tc>
      </w:tr>
    </w:tbl>
    <w:p>
      <w:pPr>
        <w:spacing w:before="0" w:after="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另核对：省管湖泊电子围栏系统12项、多元联合感知平台30项、执勤点船舶定位系统12项、融合通信设备11项、规范编制1项，以及硬件设备清单（双光谱重载云台32台、全固态雷达12台、网络硬盘录像机32台、无人机5架、船载主机112台等）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核对口径：</w:t>
      </w:r>
      <w:r>
        <w:rPr>
          <w:rFonts w:ascii="Times New Roman" w:hAnsi="Times New Roman" w:eastAsia="宋体"/>
          <w:sz w:val="21"/>
          <w:szCs w:val="21"/>
        </w:rPr>
        <w:t xml:space="preserve"> 本次AI智能体67项功能，逐项与上述287项条目比对，判定为以下四类之一：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13"/>
        <w:gridCol w:w="7325"/>
      </w:tblGrid>
      <w:tr>
        <w:trPr>
          <w:tblHeader/>
          <w:cantSplit/>
        </w:trPr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判定</w:t>
            </w:r>
          </w:p>
        </w:tc>
        <w:tc>
          <w:tcPr>
            <w:tcW w:w="7325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含义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复用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标书已建成同类能力，本次直接调用，不投入工作量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深化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标书已有基础能力，本次在其上做增强，工作量仅计增强部分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部分新增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标书已有底层数据或基础服务，但缺少本次所需的能力层，底层复用、能力层新增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新增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标书全文无对应内容</w:t>
            </w:r>
          </w:p>
        </w:tc>
      </w:tr>
    </w:tbl>
    <w:p>
      <w:pPr>
        <w:spacing w:before="0" w:after="60"/>
      </w:pP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二、总体结论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一、本次为增量叠加，不构成重复建设。</w:t>
      </w:r>
      <w:r>
        <w:rPr>
          <w:rFonts w:ascii="Times New Roman" w:hAnsi="Times New Roman" w:eastAsia="宋体"/>
          <w:sz w:val="21"/>
          <w:szCs w:val="21"/>
        </w:rPr>
        <w:t xml:space="preserve"> 经与287项标书功能条目逐项比对：标书零覆盖或仅有底层数据的内容共6个模块，标书已有基础、本次做增强的共4个模块，直接复用不投入工作量的共14项能力。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不存在对已招标功能的重复开发。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二、编制过程中主动开展了重复性自查，并据此核减。</w:t>
      </w:r>
      <w:r>
        <w:rPr>
          <w:rFonts w:ascii="Times New Roman" w:hAnsi="Times New Roman" w:eastAsia="宋体"/>
          <w:sz w:val="21"/>
          <w:szCs w:val="21"/>
        </w:rPr>
        <w:t xml:space="preserve"> 自查发现6处与标书功能存在交集，已逐项调整：其中1处改为直接调用标书已建能力、5处改为复用底座仅建增量。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据此核减58人天、11.6万元</w:t>
      </w:r>
      <w:r>
        <w:rPr>
          <w:rFonts w:ascii="Times New Roman" w:hAnsi="Times New Roman" w:eastAsia="宋体"/>
          <w:sz w:val="21"/>
          <w:szCs w:val="21"/>
        </w:rPr>
        <w:t xml:space="preserve">（详见第七章）。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三、经自查调整后，本次新增事项合计682人天、136.4万元</w:t>
      </w:r>
      <w:r>
        <w:rPr>
          <w:rFonts w:ascii="Times New Roman" w:hAnsi="Times New Roman" w:eastAsia="宋体"/>
          <w:sz w:val="21"/>
          <w:szCs w:val="21"/>
        </w:rPr>
        <w:t xml:space="preserve">，较原测算（710人天／142.0万元）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净减5.6万元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三、对照结果总览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42"/>
        <w:gridCol w:w="2313"/>
        <w:gridCol w:w="2891"/>
        <w:gridCol w:w="2892"/>
      </w:tblGrid>
      <w:tr>
        <w:trPr>
          <w:tblHeader/>
          <w:cantSplit/>
        </w:trPr>
        <w:tc>
          <w:tcPr>
            <w:tcW w:w="154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口径</w:t>
            </w:r>
          </w:p>
        </w:tc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涉及内容</w:t>
            </w:r>
          </w:p>
        </w:tc>
        <w:tc>
          <w:tcPr>
            <w:tcW w:w="2891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人天</w:t>
            </w:r>
          </w:p>
        </w:tc>
        <w:tc>
          <w:tcPr>
            <w:tcW w:w="289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金额（万元）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标书已有、本次直接复用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14项能力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0.00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标书零覆盖或部分新增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6个模块 + 3项补充事项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387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77.40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标书已有、本次深化增强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4个模块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295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59.00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合计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10大模块 + 3项补充事项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682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136.40</w:t>
            </w:r>
          </w:p>
        </w:tc>
      </w:tr>
    </w:tbl>
    <w:p>
      <w:pPr>
        <w:spacing w:before="0" w:after="60"/>
      </w:pPr>
    </w:p>
    <w:p>
      <w:pPr>
        <w:pBdr>
          <w:left w:val="single" w:sz="18" w:space="6" w:color="2E5C8A"/>
        </w:pBdr>
        <w:shd w:val="clear" w:color="auto" w:fill="F2F5F9"/>
        <w:spacing w:before="160" w:after="160" w:line="300" w:lineRule="auto"/>
        <w:ind w:left="360" w:right="240"/>
      </w:pPr>
      <w:r>
        <w:rPr>
          <w:rFonts w:ascii="Times New Roman" w:hAnsi="Times New Roman" w:eastAsia="宋体"/>
          <w:sz w:val="21"/>
          <w:szCs w:val="21"/>
        </w:rPr>
        <w:t xml:space="preserve">单价按加权平均2,000元／人天测算，与《AI智能体新增事项可行性分析报告V5》口径一致。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四、标书已有、本次直接复用（14项，投入0元）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以下能力标书已建成，本次直接调用，不重复建设、不投入工作量。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4.1 AI与智能化能力类（6项）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42"/>
        <w:gridCol w:w="2313"/>
        <w:gridCol w:w="2891"/>
        <w:gridCol w:w="2892"/>
      </w:tblGrid>
      <w:tr>
        <w:trPr>
          <w:tblHeader/>
          <w:cantSplit/>
        </w:trPr>
        <w:tc>
          <w:tcPr>
            <w:tcW w:w="154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标书条目定位</w:t>
            </w:r>
          </w:p>
        </w:tc>
        <w:tc>
          <w:tcPr>
            <w:tcW w:w="2891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标书已有能力</w:t>
            </w:r>
          </w:p>
        </w:tc>
        <w:tc>
          <w:tcPr>
            <w:tcW w:w="289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本次调用方式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一、门户 第4项 个人工作台－快捷入口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以NLP技术为核心，识别输入文本意图分类、提取实体标签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作为模块二自然语言理解的底层服务调用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一、门户 第7项 个人工作台－综合查询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融合大数据搜索、智能语义分析检索、图像检索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作为模块四混合检索的关键词通道调用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四、重点人员管理 第3项 重点人员识别预警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人脸抓拍、人脸识别报警、黑名单库、人脸检索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作为模块六重复人员标记的比对能力调用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十四、AI中台 第17-19项 算法仓库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算法版本管理、成效统计、指标评价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作为模块六模型版本管理能力调用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十二、业务能力中心 第15-17项 自然语义处理训练服务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中文分词优化、动态模型训练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作为模块四文本处理底层服务调用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十二、业务能力中心 第18-20项 全文检索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倒排索引技术、全文检索服务架构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作为模块四关键词检索通道调用</w:t>
            </w:r>
          </w:p>
        </w:tc>
      </w:tr>
    </w:tbl>
    <w:p>
      <w:pPr>
        <w:spacing w:before="0" w:after="60"/>
      </w:pP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4.2 平台与数据底座类（8项）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42"/>
        <w:gridCol w:w="2313"/>
        <w:gridCol w:w="2891"/>
        <w:gridCol w:w="2892"/>
      </w:tblGrid>
      <w:tr>
        <w:trPr>
          <w:tblHeader/>
          <w:cantSplit/>
        </w:trPr>
        <w:tc>
          <w:tcPr>
            <w:tcW w:w="154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标书条目定位</w:t>
            </w:r>
          </w:p>
        </w:tc>
        <w:tc>
          <w:tcPr>
            <w:tcW w:w="2891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标书已有能力</w:t>
            </w:r>
          </w:p>
        </w:tc>
        <w:tc>
          <w:tcPr>
            <w:tcW w:w="289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本次调用方式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十二、业务能力中心 第1-5项 事件中心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事件接收、联动、处置、预案配置、参数配置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作为模块五执行类工具的事件回写通道调用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十二、业务能力中心 第6-9项 报表引擎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数据源配置、报表预统计、报表页面配置、导出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作为模块八报表生成与导出能力调用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9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十三、数据能力 第1-7项 数据建模可视化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数据源接入、工作表、业务建模、驾驶舱、近30种图表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作为模块八图表渲染能力调用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十三、数据能力 第8-11项 数据存储管理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消息发布订阅、分布式文件系统、NoSQL、列式存储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作为模块三记忆库的存储底座调用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十三、数据能力 第12-22项 资源调度与计算分析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分布式协调、资源管理、容器环境、流处理引擎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作为AI服务的运行环境调用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12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十三、数据能力 第29-31项 数据安全管控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鉴权中心、字段级安全控制、列脱敏、行过滤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作为模块八数据权限过滤能力调用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13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五、巡查执勤处置 第14项 移动端设计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基于苏农云移动应用基座的移动端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模块七、模块十移动端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不另建APP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，直接复用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14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执勤点船舶定位系统 + 六、指挥调度 资源汇聚展示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112台北斗船载主机、执法船艇实时轨迹追踪与航迹回放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作为模块十轨迹能力底座调用</w:t>
            </w:r>
          </w:p>
        </w:tc>
      </w:tr>
    </w:tbl>
    <w:p>
      <w:pPr>
        <w:spacing w:before="0" w:after="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小结：以上14项本次投入为0，全部通过接口调用实现。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五、标书零覆盖或部分新增（6个模块 + 3项补充事项）</w:t>
      </w: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5.1 标书全文零覆盖（模块四、五、九）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120"/>
        <w:gridCol w:w="3759"/>
        <w:gridCol w:w="3759"/>
      </w:tblGrid>
      <w:tr>
        <w:trPr>
          <w:tblHeader/>
          <w:cantSplit/>
        </w:trPr>
        <w:tc>
          <w:tcPr>
            <w:tcW w:w="212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新增能力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标书核对结论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四、知识库与RAG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法规／案例／裁量基准／执法规程四类知识库、向量化索引、混合检索、RAG生成增强、知识自动更新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标书"知识库"仅2处出现，均指服务监测能力模块的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运维知识库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；"向量"全文0处；智能预警子系统第12项原文为"进行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人工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初步研判"，无系统自动检索法规依据的任何描述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五、工具调用与执行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工具定义规范、工具自动选择与编排、工具调用安全审计、跨系统工具网关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标书有云台控制、无人机联动、工单下发等单项操作能力（本次复用），但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无面向AI的工具描述规范，无AI自动选择工具并编排调用顺序的机制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九、人机协同与安全合规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AI建议采纳／驳回反馈、推理链可视化、人工兜底、输出合规审核、AI操作全链路审计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标书全文"可解释"0处、"留痕"0处；审计条款共4处（门户第6/17项WEB用户审计、数据能力第28项平台日志审计、网络安全设备上网日志审计），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审计对象均为"用户操作了系统"，无AI行为审计</w:t>
            </w:r>
          </w:p>
        </w:tc>
      </w:tr>
    </w:tbl>
    <w:p>
      <w:pPr>
        <w:spacing w:before="0" w:after="60"/>
      </w:pP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5.2 标书有底层数据或基础服务、本次新增能力层（模块一、二、三）</w:t>
      </w:r>
    </w:p>
    <w:p>
      <w:pPr>
        <w:pBdr>
          <w:left w:val="single" w:sz="18" w:space="6" w:color="2E5C8A"/>
        </w:pBdr>
        <w:shd w:val="clear" w:color="auto" w:fill="F2F5F9"/>
        <w:spacing w:before="160" w:after="160" w:line="300" w:lineRule="auto"/>
        <w:ind w:left="360" w:right="240"/>
      </w:pPr>
      <w:r>
        <w:rPr>
          <w:rFonts w:ascii="Times New Roman" w:hAnsi="Times New Roman" w:eastAsia="宋体"/>
          <w:sz w:val="21"/>
          <w:szCs w:val="21"/>
        </w:rPr>
        <w:t xml:space="preserve">此三个模块不采用"标书零覆盖"表述。经核对，标书确有相关底层内容，本次为底层复用、能力层新增，据实说明如下。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42"/>
        <w:gridCol w:w="2313"/>
        <w:gridCol w:w="2891"/>
        <w:gridCol w:w="2892"/>
      </w:tblGrid>
      <w:tr>
        <w:trPr>
          <w:tblHeader/>
          <w:cantSplit/>
        </w:trPr>
        <w:tc>
          <w:tcPr>
            <w:tcW w:w="154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标书已有的底层内容</w:t>
            </w:r>
          </w:p>
        </w:tc>
        <w:tc>
          <w:tcPr>
            <w:tcW w:w="2891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本次新增的能力层</w:t>
            </w:r>
          </w:p>
        </w:tc>
        <w:tc>
          <w:tcPr>
            <w:tcW w:w="289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处理方式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一、多智能体协作框架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① AI中台第8-16项"算法调度"（管理GPU算力分配与算法实例调度）；② 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执法办案应用子系统第4-8项"执法案件评分"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（自动评分、结果修正、内置标准、自定义标准、评分结果直观展示），原文为"通过预设的评分标准和规则对案件进行自动评分…自动读取案件信息并与预设标准对比，快速生成评分结果"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监督调度Agent、视觉感知Agent、智能研判Agent、执法调度Agent、Agent间通信协议、任务编排引擎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执法办案Agent的"案件评分"改为直接调用标书已建评分能力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，本次仅新增案卷要素完整性核查、程序时限合规检查、文书要素填充。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核减5人天／1.0万元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二、任务规划与自主决策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门户第4项NLP意图分类与实体标签提取（用于搜索场景）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任务拆解器、执行路径规划、自主决策引擎、置信度评估分档、异常降级、反思纠错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意图识别底层复用标书NLP服务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，本次新增"任务级意图→结构化任务单"及以上能力。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核减3人天／0.6万元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三、记忆管理系统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重点人员管理子系统一人一档与人脸库、船舶信息库、渔政队伍管理人员信息、执法办案案件档案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短期会话记忆、案件向量化检索、执法人员能力画像、违规行为模式库、船舶行为指纹、统一记忆存取接口、记忆衰减与依法留存机制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底层数据全部复用，不重复采集、不重建数据库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，本次建设的是其上的画像层与向量检索层</w:t>
            </w:r>
          </w:p>
        </w:tc>
      </w:tr>
    </w:tbl>
    <w:p>
      <w:pPr>
        <w:spacing w:before="0" w:after="60"/>
      </w:pPr>
    </w:p>
    <w:p>
      <w:pPr>
        <w:pStyle w:val="Heading3"/>
        <w:spacing w:before="280" w:after="140" w:line="288" w:lineRule="auto"/>
      </w:pPr>
      <w:r>
        <w:rPr>
          <w:rFonts w:ascii="Arial" w:hAnsi="Arial" w:eastAsia="黑体"/>
          <w:b/>
          <w:bCs/>
          <w:sz w:val="25"/>
          <w:szCs w:val="25"/>
        </w:rPr>
        <w:t xml:space="preserve">5.3 保障智能体规范运行的补充事项（3项）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42"/>
        <w:gridCol w:w="2313"/>
        <w:gridCol w:w="2891"/>
        <w:gridCol w:w="2892"/>
      </w:tblGrid>
      <w:tr>
        <w:trPr>
          <w:tblHeader/>
          <w:cantSplit/>
        </w:trPr>
        <w:tc>
          <w:tcPr>
            <w:tcW w:w="154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补充事项</w:t>
            </w:r>
          </w:p>
        </w:tc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内容</w:t>
            </w:r>
          </w:p>
        </w:tc>
        <w:tc>
          <w:tcPr>
            <w:tcW w:w="2891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标书核对结论</w:t>
            </w:r>
          </w:p>
        </w:tc>
        <w:tc>
          <w:tcPr>
            <w:tcW w:w="289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人天／金额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场景评测集与回归测试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建立100-200条标注真实案例的评测集，模型或规则变更后执行回归测试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标书无AI效果评测机制。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无此项则模型迭代后效果变化无法验证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15人天／3.0万元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模型网关（可插拔抽象层）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统一大模型调用接口，换模型只改配置不改代码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标书无此概念。用于避免与特定模型厂商绑定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10人天／2.0万元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提示词注入安全测试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针对AI可调用工具执行操作的风险开展专项安全测试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标书网络安全设备为网络层防护，无AI应用层安全测试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5人天／1.0万元</w:t>
            </w:r>
          </w:p>
        </w:tc>
      </w:tr>
    </w:tbl>
    <w:p>
      <w:pPr>
        <w:spacing w:before="0" w:after="60"/>
      </w:pP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六、标书已有基础、本次深化增强（4个模块）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以下模块标书已建设基础能力，本次仅就增强部分投入工作量，基础能力全部复用。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542"/>
        <w:gridCol w:w="2313"/>
        <w:gridCol w:w="2891"/>
        <w:gridCol w:w="2892"/>
      </w:tblGrid>
      <w:tr>
        <w:trPr>
          <w:tblHeader/>
          <w:cantSplit/>
        </w:trPr>
        <w:tc>
          <w:tcPr>
            <w:tcW w:w="154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标书已有基础（条目定位与原文要点）</w:t>
            </w:r>
          </w:p>
        </w:tc>
        <w:tc>
          <w:tcPr>
            <w:tcW w:w="2891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本次深化内容</w:t>
            </w:r>
          </w:p>
        </w:tc>
        <w:tc>
          <w:tcPr>
            <w:tcW w:w="289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建设后的实际改变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六、视频智能识别与模型能力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十四、AI中台 第24-27项"算法场景适配服务"：人员捕捞钓鱼AI识别算法（坐姿＋遮阳伞＋垂钓竿＋渔具桶＋滞留30分钟组合判定）、渔船捕鱼AI识别算法、船舶非法入侵AI识别算法、船只种类检测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升级为时序动作识别（持竿／抛竿／收线分别识别）；新增夜间热成像行为识别、多人聚集判定、跨摄像机人员重识别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从静态组合规则升级为动作级识别；夜间识别从无到有。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推理算力复用标书已配32台内置GPU录像机（原文明确支持导入视觉大模型与第三方算法插件），不新增硬件采购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七、执法调度与派单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三、智能预警子系统 第17-19项预警闭环处理（预警→研判→签收→处置→审核流程）；六、指挥调度子系统 第6-7项预案启动与协同会商（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已有"自动关联预案和响应等级，推荐相关的资源调派建议"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）、第10-11项指令派发与辅助决策；五、巡查执勤处置 任务签收与超时转交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违法等级由人工初判改为AI自动判定；资源推荐由"按预案规则推荐"升级为"按实时位置＋航道可达性＋资质装备匹配解算并排序"；任务单自动生成与自动下发；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新增处置结果回流训练闭环（标书零覆盖）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流程壳与移动端完全复用，AI注入既有节点；人员角色从"任务创建者"变为"结果确认者"；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回流训练使模型可持续优化，标书模型为训练完即固化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八、NL2SQL与智能报表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十三、数据能力 第2项工作表（原文："系统会自动展示图表，并可以提示选择合适图表类型"，支持近30种图表）、第4项驾驶舱；十二、业务能力中心 第6-9项报表引擎（含列表导出）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新增自然语言转SQL查询入口、图表AI自动解读、多轮上下文追问、趋势预测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图表推荐、渲染、导出、分享全部复用标书能力，本次不重复建设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，仅新增查询入口与解读能力。据此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核减20人天／4.0万元</w:t>
            </w:r>
          </w:p>
        </w:tc>
      </w:tr>
      <w:tr>
        <w:tc>
          <w:tcPr>
            <w:tcW w:w="154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十、智能巡查</w:t>
            </w:r>
          </w:p>
        </w:tc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执勤点船舶定位系统（112台北斗船载主机，执法船艇实时轨迹追踪、航迹回放、每次行驶轨迹呈现）；五、巡查执勤处置 第8项巡查路径管理、第3项任务归档（已能自动关联通讯记录生成简易总结报告）；六、指挥调度 资源汇聚展示（轨迹管理）</w:t>
            </w:r>
          </w:p>
        </w:tc>
        <w:tc>
          <w:tcPr>
            <w:tcW w:w="2891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轨迹采集对象由执法船艇扩展至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执法人员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（徒步／车载）；新增现场影像自动水印与标准化归档、AI巡查路线优化、巡查质量AI自动质检</w:t>
            </w:r>
          </w:p>
        </w:tc>
        <w:tc>
          <w:tcPr>
            <w:tcW w:w="289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轨迹引擎与GIS底图复用标书已建能力，不新建轨迹系统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；影像水印归档（标书全文0处）与巡查质检为纯新增。据此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核减30人天／6.0万元</w:t>
            </w:r>
          </w:p>
        </w:tc>
      </w:tr>
    </w:tbl>
    <w:p>
      <w:pPr>
        <w:spacing w:before="0" w:after="60"/>
      </w:pP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七、重复性自查与核减说明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编制过程中对67项功能逐条开展重复性自查，发现6处与标书功能存在交集，已全部调整并相应核减工作量。核减明细如下：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675"/>
        <w:gridCol w:w="1446"/>
        <w:gridCol w:w="1735"/>
        <w:gridCol w:w="3952"/>
        <w:gridCol w:w="1830"/>
      </w:tblGrid>
      <w:tr>
        <w:trPr>
          <w:tblHeader/>
          <w:cantSplit/>
        </w:trPr>
        <w:tc>
          <w:tcPr>
            <w:tcW w:w="675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w="1446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自查发现的交集</w:t>
            </w:r>
          </w:p>
        </w:tc>
        <w:tc>
          <w:tcPr>
            <w:tcW w:w="1735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标书对应条目</w:t>
            </w:r>
          </w:p>
        </w:tc>
        <w:tc>
          <w:tcPr>
            <w:tcW w:w="3952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调整方式</w:t>
            </w:r>
          </w:p>
        </w:tc>
        <w:tc>
          <w:tcPr>
            <w:tcW w:w="183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核减</w:t>
            </w:r>
          </w:p>
        </w:tc>
      </w:tr>
      <w:tr>
        <w:tc>
          <w:tcPr>
            <w:tcW w:w="67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</w:t>
            </w:r>
          </w:p>
        </w:tc>
        <w:tc>
          <w:tcPr>
            <w:tcW w:w="144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执法办案Agent"案件评分"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执法办案应用子系统 第4-8项 执法案件评分（自动评分、结果修正、内置标准、自定义标准、评分结果直观展示）</w:t>
            </w:r>
          </w:p>
        </w:tc>
        <w:tc>
          <w:tcPr>
            <w:tcW w:w="3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改为直接调用标书已建评分能力</w:t>
            </w:r>
          </w:p>
        </w:tc>
        <w:tc>
          <w:tcPr>
            <w:tcW w:w="1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5人天／1.0万元</w:t>
            </w:r>
          </w:p>
        </w:tc>
      </w:tr>
      <w:tr>
        <w:tc>
          <w:tcPr>
            <w:tcW w:w="67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</w:t>
            </w:r>
          </w:p>
        </w:tc>
        <w:tc>
          <w:tcPr>
            <w:tcW w:w="144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图表自动推荐、报表导出分享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数据能力－工作表自动展示图表；报表引擎－报表页面配置与列表导出；驾驶舱分享</w:t>
            </w:r>
          </w:p>
        </w:tc>
        <w:tc>
          <w:tcPr>
            <w:tcW w:w="3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改为复用标书报表引擎与图表组件</w:t>
            </w:r>
          </w:p>
        </w:tc>
        <w:tc>
          <w:tcPr>
            <w:tcW w:w="1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20人天／4.0万元</w:t>
            </w:r>
          </w:p>
        </w:tc>
      </w:tr>
      <w:tr>
        <w:tc>
          <w:tcPr>
            <w:tcW w:w="67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</w:t>
            </w:r>
          </w:p>
        </w:tc>
        <w:tc>
          <w:tcPr>
            <w:tcW w:w="144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巡查轨迹采集与地图展示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执勤点船舶定位系统－船艇轨迹追踪与航迹回放；指挥调度－资源汇聚展示轨迹管理</w:t>
            </w:r>
          </w:p>
        </w:tc>
        <w:tc>
          <w:tcPr>
            <w:tcW w:w="3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复用既有轨迹引擎与GIS底图，仅扩展采集对象至人员</w:t>
            </w:r>
          </w:p>
        </w:tc>
        <w:tc>
          <w:tcPr>
            <w:tcW w:w="1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30人天／6.0万元</w:t>
            </w:r>
          </w:p>
        </w:tc>
      </w:tr>
      <w:tr>
        <w:tc>
          <w:tcPr>
            <w:tcW w:w="67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4</w:t>
            </w:r>
          </w:p>
        </w:tc>
        <w:tc>
          <w:tcPr>
            <w:tcW w:w="144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自然语言意图识别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门户－个人工作台－快捷入口NLP意图分类与实体标签提取</w:t>
            </w:r>
          </w:p>
        </w:tc>
        <w:tc>
          <w:tcPr>
            <w:tcW w:w="3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底层复用标书NLP服务</w:t>
            </w:r>
          </w:p>
        </w:tc>
        <w:tc>
          <w:tcPr>
            <w:tcW w:w="1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3人天／0.6万元</w:t>
            </w:r>
          </w:p>
        </w:tc>
      </w:tr>
      <w:tr>
        <w:tc>
          <w:tcPr>
            <w:tcW w:w="67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</w:t>
            </w:r>
          </w:p>
        </w:tc>
        <w:tc>
          <w:tcPr>
            <w:tcW w:w="144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移动端应用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巡查执勤处置－移动端设计（苏农云移动应用基座）</w:t>
            </w:r>
          </w:p>
        </w:tc>
        <w:tc>
          <w:tcPr>
            <w:tcW w:w="3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不另建APP，直接复用</w:t>
            </w:r>
          </w:p>
        </w:tc>
        <w:tc>
          <w:tcPr>
            <w:tcW w:w="1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已含在上述核减中</w:t>
            </w:r>
          </w:p>
        </w:tc>
      </w:tr>
      <w:tr>
        <w:tc>
          <w:tcPr>
            <w:tcW w:w="67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</w:t>
            </w:r>
          </w:p>
        </w:tc>
        <w:tc>
          <w:tcPr>
            <w:tcW w:w="144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视频识别推理算力</w:t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网络硬盘录像机32台，内置GPU，支持导入视觉大模型与第三方算法插件</w:t>
            </w:r>
          </w:p>
        </w:tc>
        <w:tc>
          <w:tcPr>
            <w:tcW w:w="3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不新增算力硬件采购</w:t>
            </w:r>
          </w:p>
        </w:tc>
        <w:tc>
          <w:tcPr>
            <w:tcW w:w="1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硬件采购0元</w:t>
            </w:r>
          </w:p>
        </w:tc>
      </w:tr>
      <w:tr>
        <w:tc>
          <w:tcPr>
            <w:tcW w:w="67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  <w:tc>
          <w:tcPr>
            <w:tcW w:w="144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  <w:tc>
          <w:tcPr>
            <w:tcW w:w="173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  <w:tc>
          <w:tcPr>
            <w:tcW w:w="3952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合计核减</w:t>
            </w:r>
          </w:p>
        </w:tc>
        <w:tc>
          <w:tcPr>
            <w:tcW w:w="183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58人天／11.6万元</w:t>
            </w:r>
          </w:p>
        </w:tc>
      </w:tr>
    </w:tbl>
    <w:p>
      <w:pPr>
        <w:spacing w:before="0" w:after="60"/>
      </w:pP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八、逐模块对照与金额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1377"/>
        <w:gridCol w:w="1377"/>
        <w:gridCol w:w="1377"/>
        <w:gridCol w:w="1377"/>
        <w:gridCol w:w="1377"/>
        <w:gridCol w:w="1377"/>
        <w:gridCol w:w="1376"/>
      </w:tblGrid>
      <w:tr>
        <w:trPr>
          <w:tblHeader/>
          <w:cantSplit/>
        </w:trPr>
        <w:tc>
          <w:tcPr>
            <w:tcW w:w="1377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w="1377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模块</w:t>
            </w:r>
          </w:p>
        </w:tc>
        <w:tc>
          <w:tcPr>
            <w:tcW w:w="1377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原测算（人天／万元）</w:t>
            </w:r>
          </w:p>
        </w:tc>
        <w:tc>
          <w:tcPr>
            <w:tcW w:w="1377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自查核减</w:t>
            </w:r>
          </w:p>
        </w:tc>
        <w:tc>
          <w:tcPr>
            <w:tcW w:w="1377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调整后（人天／万元）</w:t>
            </w:r>
          </w:p>
        </w:tc>
        <w:tc>
          <w:tcPr>
            <w:tcW w:w="1377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与标书关系</w:t>
            </w:r>
          </w:p>
        </w:tc>
        <w:tc>
          <w:tcPr>
            <w:tcW w:w="1376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关系说明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一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多智能体协作框架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60／12.0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-5／-1.0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55／11.0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部分新增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案件评分复用标书已建能力，其余为标书无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二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任务规划与自主决策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55／11.0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-3／-0.6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52／10.4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部分新增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NLP底层复用，任务规划与决策层为标书无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三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记忆管理系统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60／12.0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60／12.0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部分新增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底层数据复用，画像层与向量检索层为标书无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四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知识库与RAG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65／13.0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65／13.0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标书零覆盖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标书无法规案例检索能力，"向量"全文0处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工具调用与执行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50／10.0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50／10.0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标书零覆盖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标书无AI工具定义与自动编排机制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六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视频智能识别与模型能力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115／23.0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115／23.0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深化增强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静态组合规则升级为时序动作识别，算力复用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七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执法调度与派单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75／15.0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75／15.0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深化增强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流程壳与移动端复用，含标书零覆盖的回流训练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八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NL2SQL与智能报表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75／15.0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-20／-4.0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55／11.0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深化增强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图表与导出复用，新增查询入口与AI解读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九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人机协同与安全合规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75／15.0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75／15.0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标书零覆盖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标书审计针对用户操作，无AI行为审计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十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智能巡查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80／16.0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-30／-6.0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50／10.0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深化增强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轨迹与GIS复用，影像水印归档与AI质检为新增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十模块小计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710／142.0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-58／-11.6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652／130.4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补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场景评测集与回归测试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+15／+3.0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15／3.0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标书零覆盖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保障模型迭代效果可验证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补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模型网关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+10／+2.0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10／2.0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标书零覆盖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避免与特定模型厂商绑定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补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提示词注入安全测试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—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+5／+1.0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5／1.0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标书零覆盖</w:t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AI应用层安全测试</w:t>
            </w:r>
          </w:p>
        </w:tc>
      </w:tr>
      <w:tr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总计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710／142.0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-28／-5.6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682／136.4</w:t>
            </w:r>
          </w:p>
        </w:tc>
        <w:tc>
          <w:tcPr>
            <w:tcW w:w="1377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  <w:tc>
          <w:tcPr>
            <w:tcW w:w="1376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t xml:space="preserve"/>
            </w:r>
          </w:p>
        </w:tc>
      </w:tr>
    </w:tbl>
    <w:p>
      <w:pPr>
        <w:spacing w:before="0" w:after="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金额确定依据：</w:t>
      </w:r>
      <w:r>
        <w:rPr>
          <w:rFonts w:ascii="Times New Roman" w:hAnsi="Times New Roman" w:eastAsia="宋体"/>
          <w:sz w:val="21"/>
          <w:szCs w:val="21"/>
        </w:rPr>
        <w:t xml:space="preserve"> 单价按加权平均2,000元／人天测算，与《AI智能体新增事项可行性分析报告V5》第6.1节口径一致；各模块人天按岗位配置（架构师、AI高级工程师、高级／中级开发工程师）与开发内容测算。</w:t>
      </w: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九、其他需说明的费用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120"/>
        <w:gridCol w:w="3759"/>
        <w:gridCol w:w="3759"/>
      </w:tblGrid>
      <w:tr>
        <w:trPr>
          <w:tblHeader/>
          <w:cantSplit/>
        </w:trPr>
        <w:tc>
          <w:tcPr>
            <w:tcW w:w="212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金额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视频识别算力硬件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0元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标书已配网络硬盘录像机32台，原文明确"内置≥1颗GPU""支持导入视觉大模型进行分析""支持第三方算法插件的导入和管理"，本次不新增算力硬件采购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大模型API调用费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约2.2万—43.2万元／年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按使用强度测算（低频试点约1,800元／月，正常运营约9,000元／月，满负荷约3.6万元／月）。</w:t>
            </w: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属持续性运营成本，不在本次建设采购范围</w:t>
            </w:r>
            <w:r>
              <w:rPr>
                <w:rFonts w:ascii="Times New Roman" w:hAnsi="Times New Roman" w:eastAsia="宋体"/>
                <w:sz w:val="18"/>
                <w:szCs w:val="18"/>
              </w:rPr>
              <w:t xml:space="preserve">，需在运营预算中单列；若依托江苏省政务云现有大模型资源，由政务云统一承担则为零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大模型本地部署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暂不采购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优先采用调用政务云大模型的方式，本次不采购算力卡。仅在确认政务云无大模型资源时另行论证</w:t>
            </w:r>
          </w:p>
        </w:tc>
      </w:tr>
    </w:tbl>
    <w:p>
      <w:pPr>
        <w:spacing w:before="0" w:after="60"/>
      </w:pP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十、建设后能力变化对照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120"/>
        <w:gridCol w:w="3759"/>
        <w:gridCol w:w="3759"/>
      </w:tblGrid>
      <w:tr>
        <w:trPr>
          <w:tblHeader/>
          <w:cantSplit/>
        </w:trPr>
        <w:tc>
          <w:tcPr>
            <w:tcW w:w="2120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维度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变更前（标书建成后的能力）</w:t>
            </w:r>
          </w:p>
        </w:tc>
        <w:tc>
          <w:tcPr>
            <w:tcW w:w="3759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变更后（叠加AI智能体）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感知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设备级感知，静态组合规则判定（坐姿＋渔具＋滞留时长）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动作级识别，覆盖夜间、多人聚集、跨点位追踪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研判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智能预警子系统原文为"进行人工初步研判"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AI自动检索法规案例，输出违法等级与处罚幅度建议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调度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按预案规则推荐资源调派建议，任务由人工创建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按实时位置与能力匹配解算最优方案，任务自动生成下发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巡查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执法船艇轨迹已可追踪回放；人员巡查靠事后填报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人员巡查轨迹自动采集，影像自动水印归档，质量AI质检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分析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报表引擎与近30种图表，查数需人工配置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自然语言直接查数，图表AI自动解读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进化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模型训练完成后固化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处置结果自动回流训练，模型可持续优化</w:t>
            </w:r>
          </w:p>
        </w:tc>
      </w:tr>
      <w:tr>
        <w:tc>
          <w:tcPr>
            <w:tcW w:w="2120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审计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记录"用户操作了系统"（登录、查询、导出）</w:t>
            </w:r>
          </w:p>
        </w:tc>
        <w:tc>
          <w:tcPr>
            <w:tcW w:w="3759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增加记录"AI做了什么"（调用哪个模型、依据哪条法规、谁确认）</w:t>
            </w:r>
          </w:p>
        </w:tc>
      </w:tr>
    </w:tbl>
    <w:p>
      <w:pPr>
        <w:spacing w:before="0" w:after="60"/>
      </w:pP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十一、程序与合规事项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sz w:val="21"/>
          <w:szCs w:val="21"/>
        </w:rPr>
        <w:t xml:space="preserve">以下事项需在报送前确认，一并说明：</w:t>
      </w:r>
    </w:p>
    <w:tbl>
      <w:tblPr>
        <w:tblW w:w="963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</w:tblPr>
      <w:tblGrid>
        <w:gridCol w:w="2313"/>
        <w:gridCol w:w="7325"/>
      </w:tblGrid>
      <w:tr>
        <w:trPr>
          <w:tblHeader/>
          <w:cantSplit/>
        </w:trPr>
        <w:tc>
          <w:tcPr>
            <w:tcW w:w="2313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事项</w:t>
            </w:r>
          </w:p>
        </w:tc>
        <w:tc>
          <w:tcPr>
            <w:tcW w:w="7325" w:type="dxa"/>
            <w:shd w:val="clear" w:color="auto" w:fill="DCE6F1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Arial" w:hAnsi="Arial" w:eastAsia="黑体"/>
                <w:b/>
                <w:bCs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变更程序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本次为原招标采购需求之外的新增事项，适用的变更或新增采购程序，需由采购人会同财政、发展改革部门确认后履行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与原可研批复的关系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需核对本次新增内容是否在《省发展改革委关于本项目可行性研究报告的批复》（苏发改投资发〔2024〕87号）确定的建设范围内，如超出范围需按规定履行相应程序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合同履行方式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招标文件第三章明确"中标供应商不得将合同标的进行转包，未经采购人同意也不得采用分包的形式履行合同"，本次新增内容的实施主体须符合该约定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信创与等级保护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本次新增内容部署于政务云内网，底层模型选用国产大模型，数据不出域，与标书要求的全栈国产化适配、网络安全等级保护三级测评、密码应用安全性评估要求一致</w:t>
            </w:r>
          </w:p>
        </w:tc>
      </w:tr>
      <w:tr>
        <w:tc>
          <w:tcPr>
            <w:tcW w:w="2313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b/>
                <w:bCs/>
                <w:sz w:val="18"/>
                <w:szCs w:val="18"/>
              </w:rPr>
              <w:t xml:space="preserve">审计追溯能力</w:t>
            </w:r>
          </w:p>
        </w:tc>
        <w:tc>
          <w:tcPr>
            <w:tcW w:w="7325" w:type="dxa"/>
            <w:tcMar>
              <w:top w:w="40" w:type="dxa"/>
              <w:left w:w="70" w:type="dxa"/>
              <w:bottom w:w="40" w:type="dxa"/>
              <w:right w:w="70" w:type="dxa"/>
            </w:tcMar>
            <w:vAlign w:val="top"/>
          </w:tcPr>
          <w:p>
            <w:pPr>
              <w:spacing w:before="20" w:after="20" w:line="264" w:lineRule="auto"/>
            </w:pPr>
            <w:r>
              <w:rPr>
                <w:rFonts w:ascii="Times New Roman" w:hAnsi="Times New Roman" w:eastAsia="宋体"/>
                <w:sz w:val="18"/>
                <w:szCs w:val="18"/>
              </w:rPr>
              <w:t xml:space="preserve">标书已要求的日志审计覆盖用户操作层；本次模块九补充AI决策过程的追溯能力，使AI参与执法研判的全过程可查、责任可分。有关智能体审计的国家标准要求，建议按最新发布的现行有效文本执行，具体标准编号与发文机关以官方发布为准</w:t>
            </w:r>
          </w:p>
        </w:tc>
      </w:tr>
    </w:tbl>
    <w:p>
      <w:pPr>
        <w:spacing w:before="0" w:after="60"/>
      </w:pPr>
    </w:p>
    <w:p>
      <w:pPr>
        <w:pBdr>
          <w:bottom w:val="single" w:sz="6" w:space="1" w:color="BFBFBF"/>
        </w:pBdr>
        <w:spacing w:before="160" w:after="160"/>
      </w:pPr>
    </w:p>
    <w:p>
      <w:pPr>
        <w:pStyle w:val="Heading2"/>
        <w:spacing w:before="320" w:after="160" w:line="288" w:lineRule="auto"/>
      </w:pPr>
      <w:r>
        <w:rPr>
          <w:rFonts w:ascii="Arial" w:hAnsi="Arial" w:eastAsia="黑体"/>
          <w:b/>
          <w:bCs/>
          <w:sz w:val="30"/>
          <w:szCs w:val="30"/>
        </w:rPr>
        <w:t xml:space="preserve">十二、结论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一、不构成重复建设。</w:t>
      </w:r>
      <w:r>
        <w:rPr>
          <w:rFonts w:ascii="Times New Roman" w:hAnsi="Times New Roman" w:eastAsia="宋体"/>
          <w:sz w:val="21"/>
          <w:szCs w:val="21"/>
        </w:rPr>
        <w:t xml:space="preserve"> 经与招标文件第四章"2.软件开发"287项功能条目逐项比对：3个模块标书全文零覆盖，3个模块底层复用、能力层新增，4个模块在标书既有基础上深化增强，另有14项能力直接复用不投入工作量。所有交集点已在第七章逐项列明并作出调整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二、编制过程主动开展重复性自查并核减。</w:t>
      </w:r>
      <w:r>
        <w:rPr>
          <w:rFonts w:ascii="Times New Roman" w:hAnsi="Times New Roman" w:eastAsia="宋体"/>
          <w:sz w:val="21"/>
          <w:szCs w:val="21"/>
        </w:rPr>
        <w:t xml:space="preserve"> 自查发现6处交集，据此核减58人天／11.6万元；同时补充3项保障智能体规范运行的必要事项，增加30人天／6.0万元。两相抵冲后，本次新增事项由原测算710人天／142.0万元调整为</w:t>
      </w:r>
      <w:r>
        <w:rPr>
          <w:rFonts w:ascii="Times New Roman" w:hAnsi="Times New Roman" w:eastAsia="宋体"/>
          <w:b/>
          <w:bCs/>
          <w:sz w:val="21"/>
          <w:szCs w:val="21"/>
        </w:rPr>
        <w:t xml:space="preserve">682人天／136.4万元，净减5.6万元</w:t>
      </w:r>
      <w:r>
        <w:rPr>
          <w:rFonts w:ascii="Times New Roman" w:hAnsi="Times New Roman" w:eastAsia="宋体"/>
          <w:sz w:val="21"/>
          <w:szCs w:val="21"/>
        </w:rPr>
        <w:t xml:space="preserve">。</w:t>
      </w:r>
    </w:p>
    <w:p>
      <w:pPr>
        <w:spacing w:before="60" w:after="60" w:line="300" w:lineRule="auto"/>
      </w:pPr>
      <w:r>
        <w:rPr>
          <w:rFonts w:ascii="Times New Roman" w:hAnsi="Times New Roman" w:eastAsia="宋体"/>
          <w:b/>
          <w:bCs/>
          <w:sz w:val="21"/>
          <w:szCs w:val="21"/>
        </w:rPr>
        <w:t xml:space="preserve">三、硬件不新增采购。</w:t>
      </w:r>
      <w:r>
        <w:rPr>
          <w:rFonts w:ascii="Times New Roman" w:hAnsi="Times New Roman" w:eastAsia="宋体"/>
          <w:sz w:val="21"/>
          <w:szCs w:val="21"/>
        </w:rPr>
        <w:t xml:space="preserve"> 视频识别推理复用标书已配32台内置GPU的网络硬盘录像机；大模型优先采用调用政务云资源的方式，本次不采购算力卡。大模型API调用费属运营成本，不在本次建设采购范围。</w:t>
      </w:r>
    </w:p>
    <w:p>
      <w:pPr>
        <w:pBdr>
          <w:bottom w:val="single" w:sz="6" w:space="1" w:color="BFBFBF"/>
        </w:pBdr>
        <w:spacing w:before="160" w:after="160"/>
      </w:pPr>
    </w:p>
    <w:p>
      <w:pPr>
        <w:spacing w:before="60" w:after="60" w:line="300" w:lineRule="auto"/>
      </w:pPr>
      <w:r>
        <w:rPr>
          <w:rFonts w:ascii="Times New Roman" w:hAnsi="Times New Roman" w:eastAsia="宋体"/>
          <w:i/>
          <w:sz w:val="21"/>
          <w:szCs w:val="21"/>
        </w:rPr>
        <w:t xml:space="preserve">本说明的核对依据为招标文件《第四章 采购需求》全文及《AI智能体新增事项可行性分析报告V5》。第四章至第八章中标注的标书条目定位，均可在招标文件原文中逐条核对。67项功能与287项标书条目的完整对照明细，另见《AI智能体建设内容可行性分析与子功能模块清单》第六章。</w:t>
      </w:r>
    </w:p>
    <w:sectPr>
      <w:pgSz w:w="11906" w:h="16838"/>
      <w:pgMar w:top="1247" w:right="1134" w:bottom="1247" w:left="1134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lang w:val="en-US" w:eastAsia="zh-CN"/>
      </w:rPr>
    </w:rPrDefault>
    <w:pPrDefault>
      <w:pPr>
        <w:spacing w:line="30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eastAsia="黑体"/>
      <w:b/>
      <w:sz w:val="44"/>
      <w:szCs w:val="44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 w:eastAsia="黑体"/>
      <w:b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 w:eastAsia="黑体"/>
      <w:b/>
      <w:sz w:val="25"/>
      <w:szCs w:val="25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" w:hAnsi="Arial" w:eastAsia="黑体"/>
      <w:b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