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D6F64"/>
          <w:sz w:val="44"/>
        </w:rPr>
        <w:t>标注评测报告</w:t>
      </w:r>
    </w:p>
    <w:p>
      <w:pPr>
        <w:jc w:val="center"/>
      </w:pPr>
      <w:r>
        <w:rPr>
          <w:color w:val="757575"/>
          <w:sz w:val="20"/>
        </w:rPr>
        <w:t>生成时间：2026-03-22 13:28:37</w:t>
      </w:r>
    </w:p>
    <w:p/>
    <w:p>
      <w:pPr>
        <w:pStyle w:val="Heading1"/>
      </w:pPr>
      <w:r>
        <w:t>统计概览</w:t>
      </w:r>
    </w:p>
    <w:p>
      <w:r>
        <w:rPr>
          <w:b/>
        </w:rPr>
        <w:t>公共分母：</w:t>
      </w:r>
      <w:r>
        <w:t>500 条</w:t>
      </w:r>
    </w:p>
    <w:p>
      <w:r>
        <w:rPr>
          <w:b/>
        </w:rPr>
        <w:t>分母说明：</w:t>
      </w:r>
      <w:r>
        <w:t>评测总数/全部数据汇总（分母不筛选）</w:t>
      </w:r>
    </w:p>
    <w:p/>
    <w:p>
      <w:pPr>
        <w:pStyle w:val="Heading1"/>
      </w:pPr>
      <w:r>
        <w:t>指标统计表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指标名称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分子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分母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百分比</w:t>
            </w:r>
          </w:p>
        </w:tc>
      </w:tr>
      <w:tr>
        <w:tc>
          <w:tcPr>
            <w:tcW w:type="dxa" w:w="2160"/>
          </w:tcPr>
          <w:p>
            <w:r>
              <w:t>整体通过率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整体异常率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生成为空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肢体异常率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服装还原-服装整体不还原率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服装还原-上装不还原率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服装还原-下装不还原率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服装穿着效果异常率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/>
    <w:p>
      <w:pPr>
        <w:pStyle w:val="Heading1"/>
      </w:pPr>
      <w:r>
        <w:t>评测报告</w:t>
      </w:r>
    </w:p>
    <w:p>
      <w:pPr>
        <w:pStyle w:val="Heading2"/>
      </w:pPr>
      <w:r>
        <w:rPr>
          <w:sz w:val="32"/>
        </w:rPr>
        <w:t>1. 总体结论</w:t>
      </w:r>
    </w:p>
    <w:p>
      <w:r>
        <w:t xml:space="preserve">本次标注整体效果一般：通过率仅 </w:t>
      </w:r>
      <w:r>
        <w:rPr>
          <w:b/>
        </w:rPr>
        <w:t>33.0%（165/500）</w:t>
      </w:r>
      <w:r>
        <w:t xml:space="preserve">，异常率较高为 </w:t>
      </w:r>
      <w:r>
        <w:rPr>
          <w:b/>
        </w:rPr>
        <w:t>67.0%（335/500）</w:t>
      </w:r>
      <w:r>
        <w:t>。分组之间存在明显差异，其中“</w:t>
      </w:r>
      <w:r>
        <w:rPr>
          <w:b/>
        </w:rPr>
        <w:t>其他状态</w:t>
      </w:r>
      <w:r>
        <w:t>”的通过率最低且异常率最高（</w:t>
      </w:r>
      <w:r>
        <w:rPr>
          <w:b/>
        </w:rPr>
        <w:t>23.21%</w:t>
      </w:r>
      <w:r>
        <w:t xml:space="preserve"> 与 </w:t>
      </w:r>
      <w:r>
        <w:rPr>
          <w:b/>
        </w:rPr>
        <w:t>76.79%</w:t>
      </w:r>
      <w:r>
        <w:t>），提示该场景标注稳定性不足。各类“服装还原”类指标不理想，是主要拉低整体质量的来源。</w:t>
      </w:r>
    </w:p>
    <w:p/>
    <w:p>
      <w:pPr>
        <w:pStyle w:val="Heading2"/>
      </w:pPr>
      <w:r>
        <w:rPr>
          <w:sz w:val="32"/>
        </w:rPr>
        <w:t>2. 核心指标分析</w:t>
      </w:r>
    </w:p>
    <w:p>
      <w:pPr>
        <w:pStyle w:val="ListBullet"/>
      </w:pPr>
      <w:r/>
      <w:r>
        <w:rPr>
          <w:b/>
        </w:rPr>
        <w:t>整体通过率</w:t>
      </w:r>
      <w:r>
        <w:t>：</w:t>
      </w:r>
    </w:p>
    <w:p>
      <w:pPr>
        <w:pStyle w:val="ListBullet"/>
      </w:pPr>
      <w:r>
        <w:t xml:space="preserve">全部 </w:t>
      </w:r>
      <w:r>
        <w:rPr>
          <w:b/>
        </w:rPr>
        <w:t>33.0%（165/500）</w:t>
      </w:r>
      <w:r>
        <w:t>。</w:t>
      </w:r>
    </w:p>
    <w:p>
      <w:pPr>
        <w:pStyle w:val="ListBullet"/>
      </w:pPr>
      <w:r>
        <w:t xml:space="preserve">手指交叉 </w:t>
      </w:r>
      <w:r>
        <w:rPr>
          <w:b/>
        </w:rPr>
        <w:t>34.88%（15/43）</w:t>
      </w:r>
      <w:r>
        <w:t xml:space="preserve">、手持物 </w:t>
      </w:r>
      <w:r>
        <w:rPr>
          <w:b/>
        </w:rPr>
        <w:t>37.22%（67/180）</w:t>
      </w:r>
      <w:r>
        <w:t xml:space="preserve">相对较好；手指下垂/未露出 </w:t>
      </w:r>
      <w:r>
        <w:rPr>
          <w:b/>
        </w:rPr>
        <w:t>31.46%（67/213）</w:t>
      </w:r>
      <w:r>
        <w:t xml:space="preserve">居中；其他状态 </w:t>
      </w:r>
      <w:r>
        <w:rPr>
          <w:b/>
        </w:rPr>
        <w:t>23.21%（13/56）</w:t>
      </w:r>
      <w:r>
        <w:t>较差。</w:t>
      </w:r>
    </w:p>
    <w:p/>
    <w:p>
      <w:pPr>
        <w:pStyle w:val="ListBullet"/>
      </w:pPr>
      <w:r/>
      <w:r>
        <w:rPr>
          <w:b/>
        </w:rPr>
        <w:t>整体异常率</w:t>
      </w:r>
      <w:r>
        <w:t xml:space="preserve">：全部 </w:t>
      </w:r>
      <w:r>
        <w:rPr>
          <w:b/>
        </w:rPr>
        <w:t>67.0%（335/500）</w:t>
      </w:r>
      <w:r>
        <w:t xml:space="preserve">。其中“其他状态”异常率最高 </w:t>
      </w:r>
      <w:r>
        <w:rPr>
          <w:b/>
        </w:rPr>
        <w:t>76.79%（43/56）</w:t>
      </w:r>
      <w:r>
        <w:t xml:space="preserve">，其次“手指下垂/未露出” </w:t>
      </w:r>
      <w:r>
        <w:rPr>
          <w:b/>
        </w:rPr>
        <w:t>68.54%（146/213）</w:t>
      </w:r>
      <w:r>
        <w:t>。</w:t>
      </w:r>
    </w:p>
    <w:p/>
    <w:p>
      <w:pPr>
        <w:pStyle w:val="ListBullet"/>
      </w:pPr>
      <w:r/>
      <w:r>
        <w:rPr>
          <w:b/>
        </w:rPr>
        <w:t>生成为空</w:t>
      </w:r>
      <w:r>
        <w:t xml:space="preserve">：整体 </w:t>
      </w:r>
      <w:r>
        <w:rPr>
          <w:b/>
        </w:rPr>
        <w:t>2.8%（14/500）</w:t>
      </w:r>
      <w:r>
        <w:t xml:space="preserve">。手指交叉与手指下垂/未露出均为 </w:t>
      </w:r>
      <w:r>
        <w:rPr>
          <w:b/>
        </w:rPr>
        <w:t>0.0%</w:t>
      </w:r>
      <w:r>
        <w:t xml:space="preserve">；但“其他状态”生成为空 </w:t>
      </w:r>
      <w:r>
        <w:rPr>
          <w:b/>
        </w:rPr>
        <w:t>12.5%（7/56）</w:t>
      </w:r>
      <w:r>
        <w:t>明显偏高，是需重点关注的低指标。</w:t>
      </w:r>
    </w:p>
    <w:p/>
    <w:p>
      <w:pPr>
        <w:pStyle w:val="ListBullet"/>
      </w:pPr>
      <w:r/>
      <w:r>
        <w:rPr>
          <w:b/>
        </w:rPr>
        <w:t>肢体异常率</w:t>
      </w:r>
      <w:r>
        <w:t xml:space="preserve">：整体 </w:t>
      </w:r>
      <w:r>
        <w:rPr>
          <w:b/>
        </w:rPr>
        <w:t>10.6%（53/500）</w:t>
      </w:r>
      <w:r>
        <w:t xml:space="preserve">。其他状态 </w:t>
      </w:r>
      <w:r>
        <w:rPr>
          <w:b/>
        </w:rPr>
        <w:t>10.71%（6/56）</w:t>
      </w:r>
      <w:r>
        <w:t xml:space="preserve">接近整体；手指交叉最低 </w:t>
      </w:r>
      <w:r>
        <w:rPr>
          <w:b/>
        </w:rPr>
        <w:t>4.65%（2/43）</w:t>
      </w:r>
      <w:r>
        <w:t>。</w:t>
      </w:r>
    </w:p>
    <w:p/>
    <w:p>
      <w:pPr>
        <w:pStyle w:val="ListBullet"/>
      </w:pPr>
      <w:r/>
      <w:r>
        <w:rPr>
          <w:b/>
        </w:rPr>
        <w:t>服装还原：服装整体不还原率</w:t>
      </w:r>
      <w:r>
        <w:t xml:space="preserve">：整体 </w:t>
      </w:r>
      <w:r>
        <w:rPr>
          <w:b/>
        </w:rPr>
        <w:t>60.6%（303/500）</w:t>
      </w:r>
      <w:r>
        <w:t xml:space="preserve">，各组均高位（手抱胸最低 </w:t>
      </w:r>
      <w:r>
        <w:rPr>
          <w:b/>
        </w:rPr>
        <w:t>37.5%（3/8）</w:t>
      </w:r>
      <w:r>
        <w:t>但样本极小）。</w:t>
      </w:r>
    </w:p>
    <w:p>
      <w:pPr>
        <w:pStyle w:val="ListBullet"/>
      </w:pPr>
      <w:r/>
      <w:r>
        <w:rPr>
          <w:b/>
        </w:rPr>
        <w:t>服装还原：上装不还原率</w:t>
      </w:r>
      <w:r>
        <w:t xml:space="preserve">：整体 </w:t>
      </w:r>
      <w:r>
        <w:rPr>
          <w:b/>
        </w:rPr>
        <w:t>38.8%（194/500）</w:t>
      </w:r>
      <w:r>
        <w:t xml:space="preserve">，手指下垂/未露出最高 </w:t>
      </w:r>
      <w:r>
        <w:rPr>
          <w:b/>
        </w:rPr>
        <w:t>42.72%（91/213）</w:t>
      </w:r>
      <w:r>
        <w:t xml:space="preserve">，其他状态也偏高 </w:t>
      </w:r>
      <w:r>
        <w:rPr>
          <w:b/>
        </w:rPr>
        <w:t>48.21%（27/56）</w:t>
      </w:r>
      <w:r>
        <w:t>。</w:t>
      </w:r>
    </w:p>
    <w:p>
      <w:pPr>
        <w:pStyle w:val="ListBullet"/>
      </w:pPr>
      <w:r/>
      <w:r>
        <w:rPr>
          <w:b/>
        </w:rPr>
        <w:t>服装还原：下装不还原率</w:t>
      </w:r>
      <w:r>
        <w:t xml:space="preserve">：整体 </w:t>
      </w:r>
      <w:r>
        <w:rPr>
          <w:b/>
        </w:rPr>
        <w:t>39.0%（195/500）</w:t>
      </w:r>
      <w:r>
        <w:t xml:space="preserve">，手指交叉 </w:t>
      </w:r>
      <w:r>
        <w:rPr>
          <w:b/>
        </w:rPr>
        <w:t>44.19%（19/43）</w:t>
      </w:r>
      <w:r>
        <w:t>较高。</w:t>
      </w:r>
    </w:p>
    <w:p>
      <w:pPr>
        <w:pStyle w:val="ListBullet"/>
      </w:pPr>
      <w:r/>
      <w:r>
        <w:rPr>
          <w:b/>
        </w:rPr>
        <w:t>服装穿着效果异常率</w:t>
      </w:r>
      <w:r>
        <w:t xml:space="preserve">：整体 </w:t>
      </w:r>
      <w:r>
        <w:rPr>
          <w:b/>
        </w:rPr>
        <w:t>1.8%（9/500）</w:t>
      </w:r>
      <w:r>
        <w:t xml:space="preserve">，但手抱胸显著异常 </w:t>
      </w:r>
      <w:r>
        <w:rPr>
          <w:b/>
        </w:rPr>
        <w:t>25.0%（2/8）</w:t>
      </w:r>
      <w:r>
        <w:t>（样本量小，需谨慎解读）。</w:t>
      </w:r>
    </w:p>
    <w:p/>
    <w:p>
      <w:pPr>
        <w:pStyle w:val="Heading2"/>
      </w:pPr>
      <w:r>
        <w:rPr>
          <w:sz w:val="32"/>
        </w:rPr>
        <w:t>3. 风险提示</w:t>
      </w:r>
    </w:p>
    <w:p>
      <w:pPr>
        <w:pStyle w:val="ListNumber"/>
      </w:pPr>
      <w:r/>
      <w:r>
        <w:rPr>
          <w:b/>
        </w:rPr>
        <w:t>服装还原总体偏差</w:t>
      </w:r>
      <w:r>
        <w:t xml:space="preserve">：服装整体不还原率高达 </w:t>
      </w:r>
      <w:r>
        <w:rPr>
          <w:b/>
        </w:rPr>
        <w:t>60.6%（303/500）</w:t>
      </w:r>
      <w:r>
        <w:t>，是主风险。</w:t>
      </w:r>
    </w:p>
    <w:p>
      <w:pPr>
        <w:pStyle w:val="ListNumber"/>
      </w:pPr>
      <w:r/>
      <w:r>
        <w:rPr>
          <w:b/>
        </w:rPr>
        <w:t>“其他状态”场景失准</w:t>
      </w:r>
      <w:r>
        <w:t xml:space="preserve">：异常率 </w:t>
      </w:r>
      <w:r>
        <w:rPr>
          <w:b/>
        </w:rPr>
        <w:t>76.79%（43/56）</w:t>
      </w:r>
      <w:r>
        <w:t xml:space="preserve">且生成为空 </w:t>
      </w:r>
      <w:r>
        <w:rPr>
          <w:b/>
        </w:rPr>
        <w:t>12.5%（7/56）</w:t>
      </w:r>
      <w:r>
        <w:t>，标注可靠性明显不足。</w:t>
      </w:r>
    </w:p>
    <w:p>
      <w:pPr>
        <w:pStyle w:val="ListNumber"/>
      </w:pPr>
      <w:r/>
      <w:r>
        <w:rPr>
          <w:b/>
        </w:rPr>
        <w:t>手指下垂/未露出</w:t>
      </w:r>
      <w:r>
        <w:t xml:space="preserve">在还原相关指标上偏高（服装整体不还原率 </w:t>
      </w:r>
      <w:r>
        <w:rPr>
          <w:b/>
        </w:rPr>
        <w:t>64.79%（138/213）</w:t>
      </w:r>
      <w:r>
        <w:t>）。</w:t>
      </w:r>
    </w:p>
    <w:p/>
    <w:p>
      <w:pPr>
        <w:pStyle w:val="Heading2"/>
      </w:pPr>
      <w:r>
        <w:rPr>
          <w:sz w:val="32"/>
        </w:rPr>
        <w:t>4. 问题归因（推测）</w:t>
      </w:r>
    </w:p>
    <w:p>
      <w:pPr>
        <w:pStyle w:val="ListBullet"/>
      </w:pPr>
      <w:r/>
      <w:r>
        <w:rPr>
          <w:b/>
        </w:rPr>
        <w:t>场景复杂度/可见性不足</w:t>
      </w:r>
      <w:r>
        <w:t>：手指下垂或其他状态可能遮挡关键部位，导致模型或标注依据不足，从而引发服装还原失败与肢体异常。</w:t>
      </w:r>
    </w:p>
    <w:p>
      <w:pPr>
        <w:pStyle w:val="ListBullet"/>
      </w:pPr>
      <w:r/>
      <w:r>
        <w:rPr>
          <w:b/>
        </w:rPr>
        <w:t>标注一致性或判定规则不清</w:t>
      </w:r>
      <w:r>
        <w:t xml:space="preserve">：上装/下装不还原率均约 </w:t>
      </w:r>
      <w:r>
        <w:rPr>
          <w:b/>
        </w:rPr>
        <w:t>38%~44%</w:t>
      </w:r>
      <w:r>
        <w:t>，提示“还原成功”的判定边界可能存在分歧。</w:t>
      </w:r>
    </w:p>
    <w:p>
      <w:pPr>
        <w:pStyle w:val="ListBullet"/>
      </w:pPr>
      <w:r/>
      <w:r>
        <w:rPr>
          <w:b/>
        </w:rPr>
        <w:t>生成阶段失败</w:t>
      </w:r>
      <w:r>
        <w:t xml:space="preserve">：其他状态生成为空 </w:t>
      </w:r>
      <w:r>
        <w:rPr>
          <w:b/>
        </w:rPr>
        <w:t>12.5%</w:t>
      </w:r>
      <w:r>
        <w:t>，可能与该类样本的输入质量、触发条件或数据缺失有关。</w:t>
      </w:r>
    </w:p>
    <w:p/>
    <w:p>
      <w:pPr>
        <w:pStyle w:val="Heading2"/>
      </w:pPr>
      <w:r>
        <w:rPr>
          <w:sz w:val="32"/>
        </w:rPr>
        <w:t>5. 改进建议</w:t>
      </w:r>
    </w:p>
    <w:p>
      <w:pPr>
        <w:pStyle w:val="ListNumber"/>
      </w:pPr>
      <w:r/>
      <w:r>
        <w:rPr>
          <w:b/>
        </w:rPr>
        <w:t>优化服装还原判定标准</w:t>
      </w:r>
      <w:r>
        <w:t>：建立“上装/下装还原成功”的可量化标准（如关键部位对齐范围、袖口/下摆可见性阈值），减少主观差异。</w:t>
      </w:r>
    </w:p>
    <w:p>
      <w:pPr>
        <w:pStyle w:val="ListNumber"/>
      </w:pPr>
      <w:r/>
      <w:r>
        <w:rPr>
          <w:b/>
        </w:rPr>
        <w:t>针对“其他状态”做专项质检</w:t>
      </w:r>
      <w:r>
        <w:t>：抽检失败样本，检查是否存在遮挡、姿态不典型或字段缺失；同时校准“生成为空”的触发与兜底策略。</w:t>
      </w:r>
    </w:p>
    <w:p>
      <w:pPr>
        <w:pStyle w:val="ListNumber"/>
      </w:pPr>
      <w:r/>
      <w:r>
        <w:rPr>
          <w:b/>
        </w:rPr>
        <w:t>引入分组标注策略</w:t>
      </w:r>
      <w:r>
        <w:t>：对“手指下垂/未露出”增加遮挡条件标注流程（例如先标记可见关键点，再判定还原）。</w:t>
      </w:r>
    </w:p>
    <w:p>
      <w:pPr>
        <w:pStyle w:val="ListNumber"/>
      </w:pPr>
      <w:r/>
      <w:r>
        <w:rPr>
          <w:b/>
        </w:rPr>
        <w:t>扩大有效样本量的异常验证</w:t>
      </w:r>
      <w:r>
        <w:t xml:space="preserve">：手抱胸样本仅 </w:t>
      </w:r>
      <w:r>
        <w:rPr>
          <w:b/>
        </w:rPr>
        <w:t>8</w:t>
      </w:r>
      <w:r>
        <w:t xml:space="preserve">，建议补充数据后再评估穿着效果异常（当前 </w:t>
      </w:r>
      <w:r>
        <w:rPr>
          <w:b/>
        </w:rPr>
        <w:t>25.0%</w:t>
      </w:r>
      <w:r>
        <w:t xml:space="preserve"> 可能受样本波动影响）。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