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16:12:27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评测总数（本行以行汇总为分母；以下各维度数量/占比均以总记录为分母）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>本次标注整体质量偏低：</w:t>
      </w:r>
      <w:r>
        <w:rPr>
          <w:b/>
        </w:rPr>
        <w:t>通过率为33.0%（165/500）</w:t>
      </w:r>
      <w:r>
        <w:t>，异常率较高达</w:t>
      </w:r>
      <w:r>
        <w:rPr>
          <w:b/>
        </w:rPr>
        <w:t>67.0%（335/500）</w:t>
      </w:r>
      <w:r>
        <w:t>。各手指状态中，表现差异明显，尤其“其他状态”通过率最低（</w:t>
      </w:r>
      <w:r>
        <w:rPr>
          <w:b/>
        </w:rPr>
        <w:t>23.21%（13/56）</w:t>
      </w:r>
      <w:r>
        <w:t>），提示不同姿态的标注/判定一致性存在风险。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33.0%（165/500）</w:t>
      </w:r>
      <w:r>
        <w:t>，未达到理想水平。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 xml:space="preserve">相对较优；手指下垂/未露出 </w:t>
      </w:r>
      <w:r>
        <w:rPr>
          <w:b/>
        </w:rPr>
        <w:t>31.46%（67/213）</w:t>
      </w:r>
      <w:r>
        <w:t xml:space="preserve">中等偏低；其他状态 </w:t>
      </w:r>
      <w:r>
        <w:rPr>
          <w:b/>
        </w:rPr>
        <w:t>23.21%（13/56）</w:t>
      </w:r>
      <w:r>
        <w:t xml:space="preserve">显著偏低；手抱胸虽样本少（8），通过率 </w:t>
      </w:r>
      <w:r>
        <w:rPr>
          <w:b/>
        </w:rPr>
        <w:t>37.5%（3/8）</w:t>
      </w:r>
      <w:r>
        <w:t>但稳定性不足。</w:t>
      </w:r>
    </w:p>
    <w:p>
      <w:pPr>
        <w:pStyle w:val="ListBullet"/>
      </w:pPr>
      <w:r/>
      <w:r>
        <w:rPr>
          <w:b/>
        </w:rPr>
        <w:t>整体异常率</w:t>
      </w:r>
      <w:r>
        <w:t xml:space="preserve">：全部 </w:t>
      </w:r>
      <w:r>
        <w:rPr>
          <w:b/>
        </w:rPr>
        <w:t>67.0%（335/500）</w:t>
      </w:r>
      <w:r>
        <w:t xml:space="preserve">，各分组均高于60%，其中其他状态异常率最高 </w:t>
      </w:r>
      <w:r>
        <w:rPr>
          <w:b/>
        </w:rPr>
        <w:t>76.79%（43/56）</w:t>
      </w:r>
      <w:r>
        <w:t xml:space="preserve">，手指下垂/未露出 </w:t>
      </w:r>
      <w:r>
        <w:rPr>
          <w:b/>
        </w:rPr>
        <w:t>68.54%（146/213）</w:t>
      </w:r>
      <w:r>
        <w:t>次之。</w:t>
      </w:r>
    </w:p>
    <w:p>
      <w:pPr>
        <w:pStyle w:val="ListBullet"/>
      </w:pPr>
      <w:r/>
      <w:r>
        <w:rPr>
          <w:b/>
        </w:rPr>
        <w:t>生成为空（极低但需关注）</w:t>
      </w:r>
      <w:r>
        <w:t xml:space="preserve">：全部 </w:t>
      </w:r>
      <w:r>
        <w:rPr>
          <w:b/>
        </w:rPr>
        <w:t>2.8%（14/500）</w:t>
      </w:r>
      <w:r>
        <w:t xml:space="preserve">。除“其他状态”外其余均为0或更低（如手指交叉 </w:t>
      </w:r>
      <w:r>
        <w:rPr>
          <w:b/>
        </w:rPr>
        <w:t>0.0%（0/43）</w:t>
      </w:r>
      <w:r>
        <w:t xml:space="preserve">、手指下垂/未露出 </w:t>
      </w:r>
      <w:r>
        <w:rPr>
          <w:b/>
        </w:rPr>
        <w:t>0.0%（0/213）</w:t>
      </w:r>
      <w:r>
        <w:t xml:space="preserve">），但“其他状态”生成为空达到 </w:t>
      </w:r>
      <w:r>
        <w:rPr>
          <w:b/>
        </w:rPr>
        <w:t>12.5%（7/56）</w:t>
      </w:r>
      <w:r>
        <w:t>，风险集中。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：全部 </w:t>
      </w:r>
      <w:r>
        <w:rPr>
          <w:b/>
        </w:rPr>
        <w:t>10.6%（53/500）</w:t>
      </w:r>
      <w:r>
        <w:t xml:space="preserve">，整体可控；手持物 </w:t>
      </w:r>
      <w:r>
        <w:rPr>
          <w:b/>
        </w:rPr>
        <w:t>11.67%（21/180）</w:t>
      </w:r>
      <w:r>
        <w:t>略高。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：全部 </w:t>
      </w:r>
      <w:r>
        <w:rPr>
          <w:b/>
        </w:rPr>
        <w:t>60.6%（303/500）</w:t>
      </w:r>
      <w:r>
        <w:t>，不达标明显，提示服装相关标注/判定普遍偏严格或标注质量不足。手抱胸不还原率相对低（</w:t>
      </w:r>
      <w:r>
        <w:rPr>
          <w:b/>
        </w:rPr>
        <w:t>37.5%（3/8）</w:t>
      </w:r>
      <w:r>
        <w:t>），其余分组均在</w:t>
      </w:r>
      <w:r>
        <w:rPr>
          <w:b/>
        </w:rPr>
        <w:t>56.11%~64.79%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：全部 </w:t>
      </w:r>
      <w:r>
        <w:rPr>
          <w:b/>
        </w:rPr>
        <w:t>38.8%（194/500）</w:t>
      </w:r>
      <w:r>
        <w:t xml:space="preserve">，手指下垂/未露出最高 </w:t>
      </w:r>
      <w:r>
        <w:rPr>
          <w:b/>
        </w:rPr>
        <w:t>42.72%（91/213）</w:t>
      </w:r>
      <w:r>
        <w:t xml:space="preserve">，其他状态 </w:t>
      </w:r>
      <w:r>
        <w:rPr>
          <w:b/>
        </w:rPr>
        <w:t>48.21%（27/56）</w:t>
      </w:r>
      <w:r>
        <w:t>偏高。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：全部 </w:t>
      </w:r>
      <w:r>
        <w:rPr>
          <w:b/>
        </w:rPr>
        <w:t>39.0%（195/500）</w:t>
      </w:r>
      <w:r>
        <w:t xml:space="preserve">，手指交叉 </w:t>
      </w:r>
      <w:r>
        <w:rPr>
          <w:b/>
        </w:rPr>
        <w:t>44.19%（19/43）</w:t>
      </w:r>
      <w:r>
        <w:t>偏高。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：全部仅 </w:t>
      </w:r>
      <w:r>
        <w:rPr>
          <w:b/>
        </w:rPr>
        <w:t>1.8%（9/500）</w:t>
      </w:r>
      <w:r>
        <w:t xml:space="preserve">，总体较好；但手抱胸异常率 </w:t>
      </w:r>
      <w:r>
        <w:rPr>
          <w:b/>
        </w:rPr>
        <w:t>25.0%（2/8）</w:t>
      </w:r>
      <w:r>
        <w:t>偏高（样本小仍值得复核）。</w:t>
      </w:r>
    </w:p>
    <w:p/>
    <w:p>
      <w:pPr>
        <w:pStyle w:val="Heading2"/>
      </w:pPr>
      <w:r>
        <w:rPr>
          <w:sz w:val="32"/>
        </w:rPr>
        <w:t>3. 风险提示（低指标）</w:t>
      </w:r>
    </w:p>
    <w:p>
      <w:pPr>
        <w:pStyle w:val="ListNumber"/>
      </w:pPr>
      <w:r/>
      <w:r>
        <w:rPr>
          <w:b/>
        </w:rPr>
        <w:t>其他状态通过率最低：23.21%（13/56）</w:t>
      </w:r>
      <w:r>
        <w:t xml:space="preserve">，且异常率最高 </w:t>
      </w:r>
      <w:r>
        <w:rPr>
          <w:b/>
        </w:rPr>
        <w:t>76.79%（43/56）</w:t>
      </w:r>
      <w:r>
        <w:t>。</w:t>
      </w:r>
    </w:p>
    <w:p>
      <w:pPr>
        <w:pStyle w:val="ListNumber"/>
      </w:pPr>
      <w:r/>
      <w:r>
        <w:rPr>
          <w:b/>
        </w:rPr>
        <w:t>生成为空在其他状态显著：12.5%（7/56）</w:t>
      </w:r>
      <w:r>
        <w:t>，属于“集中性严重问题”。</w:t>
      </w:r>
    </w:p>
    <w:p>
      <w:pPr>
        <w:pStyle w:val="ListNumber"/>
      </w:pPr>
      <w:r/>
      <w:r>
        <w:rPr>
          <w:b/>
        </w:rPr>
        <w:t>服装还原整体不还原率过高：60.6%（303/500）</w:t>
      </w:r>
      <w:r>
        <w:t>，是最主要的总体质量拖累。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>“其他状态”样本差异大，可能包含更多边界姿态/遮挡/不典型手势，导致模型或标注规则难以稳定判定，从而拉高异常率与“生成为空”。</w:t>
      </w:r>
    </w:p>
    <w:p>
      <w:pPr>
        <w:pStyle w:val="ListBullet"/>
      </w:pPr>
      <w:r>
        <w:t>服装还原不还原率极高（60.6%），可能与判定阈值、遮挡区域识别、服装样式复杂度或标注口径不一致有关，尤其在</w:t>
      </w:r>
      <w:r>
        <w:rPr>
          <w:b/>
        </w:rPr>
        <w:t>上装/下装</w:t>
      </w:r>
      <w:r>
        <w:t xml:space="preserve">维度的不还原率（分别 </w:t>
      </w:r>
      <w:r>
        <w:rPr>
          <w:b/>
        </w:rPr>
        <w:t>38.8%</w:t>
      </w:r>
      <w:r>
        <w:t>、</w:t>
      </w:r>
      <w:r>
        <w:rPr>
          <w:b/>
        </w:rPr>
        <w:t>39.0%</w:t>
      </w:r>
      <w:r>
        <w:t>）共同抬升。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针对“其他状态”建立专项复核集</w:t>
      </w:r>
      <w:r>
        <w:t>：优先抽取生成为空样本（7/56）与低通过样本（13/56），统一口径并修订判定策略。</w:t>
      </w:r>
    </w:p>
    <w:p>
      <w:pPr>
        <w:pStyle w:val="ListNumber"/>
      </w:pPr>
      <w:r/>
      <w:r>
        <w:rPr>
          <w:b/>
        </w:rPr>
        <w:t>优化服装还原标注口径与阈值</w:t>
      </w:r>
      <w:r>
        <w:t>：分层检查上装/下装误判来源（如边界、褶皱、遮挡），必要时细化到“可见性/遮挡容忍度”。</w:t>
      </w:r>
    </w:p>
    <w:p>
      <w:pPr>
        <w:pStyle w:val="ListNumber"/>
      </w:pPr>
      <w:r/>
      <w:r>
        <w:rPr>
          <w:b/>
        </w:rPr>
        <w:t>增加姿态一致性校验</w:t>
      </w:r>
      <w:r>
        <w:t>：对手指下垂/未露出与手指交叉进行规则审查，重点检查是否存在“关键可见点缺失”导致的系统性判错。</w:t>
      </w:r>
    </w:p>
    <w:p>
      <w:pPr>
        <w:pStyle w:val="ListNumber"/>
      </w:pPr>
      <w:r/>
      <w:r>
        <w:rPr>
          <w:b/>
        </w:rPr>
        <w:t>小样本异常（手抱胸）复核</w:t>
      </w:r>
      <w:r>
        <w:t xml:space="preserve">：尽管通过率不低，但穿着效果异常率为 </w:t>
      </w:r>
      <w:r>
        <w:rPr>
          <w:b/>
        </w:rPr>
        <w:t>25.0%（2/8）</w:t>
      </w:r>
      <w:r>
        <w:t>，建议补充标准样例并做一致性抽检。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