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16:14:25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评测总数/全部数据汇总（分母为本行汇总为分母；下列各指标的分母条件为空）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本次标注总体质量偏低：整体通过率仅 </w:t>
      </w:r>
      <w:r>
        <w:rPr>
          <w:b/>
        </w:rPr>
        <w:t>33.0%（165/500）</w:t>
      </w:r>
      <w:r>
        <w:t xml:space="preserve">，异常率较高为 </w:t>
      </w:r>
      <w:r>
        <w:rPr>
          <w:b/>
        </w:rPr>
        <w:t>67.0%（335/500）</w:t>
      </w:r>
      <w:r>
        <w:t>。从分组看，表现差异明显，尤其“其他状态”与“手指下垂/手指未露出”异常更集中，服装还原类指标整体不佳，存在较高的系统性风险。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>
        <w:t>：除“手抱胸”外整体均偏低。</w:t>
      </w:r>
    </w:p>
    <w:p>
      <w:pPr>
        <w:pStyle w:val="ListBullet"/>
      </w:pPr>
      <w:r>
        <w:t>手指交叉：</w:t>
      </w:r>
      <w:r>
        <w:rPr>
          <w:b/>
        </w:rPr>
        <w:t>34.88%（15/43）</w:t>
      </w:r>
      <w:r>
        <w:t>；手持物：</w:t>
      </w:r>
      <w:r>
        <w:rPr>
          <w:b/>
        </w:rPr>
        <w:t>37.22%（67/180）</w:t>
      </w:r>
      <w:r>
        <w:t>；手指下垂/手指未露出：</w:t>
      </w:r>
      <w:r>
        <w:rPr>
          <w:b/>
        </w:rPr>
        <w:t>31.46%（67/213）</w:t>
      </w:r>
      <w:r>
        <w:t>；其他状态：</w:t>
      </w:r>
      <w:r>
        <w:rPr>
          <w:b/>
        </w:rPr>
        <w:t>23.21%（13/56）</w:t>
      </w:r>
      <w:r>
        <w:t>；手抱胸：</w:t>
      </w:r>
      <w:r>
        <w:rPr>
          <w:b/>
        </w:rPr>
        <w:t>37.5%（3/8）</w:t>
      </w:r>
      <w:r>
        <w:t>。</w:t>
      </w:r>
    </w:p>
    <w:p>
      <w:r>
        <w:t>风险：通过率低意味着标签一致性与判定标准落地可能不充分。</w:t>
      </w:r>
    </w:p>
    <w:p/>
    <w:p>
      <w:pPr>
        <w:pStyle w:val="ListBullet"/>
      </w:pPr>
      <w:r/>
      <w:r>
        <w:rPr>
          <w:b/>
        </w:rPr>
        <w:t>整体异常率</w:t>
      </w:r>
      <w:r>
        <w:t>：显著偏高。</w:t>
      </w:r>
    </w:p>
    <w:p>
      <w:pPr>
        <w:pStyle w:val="ListBullet"/>
      </w:pPr>
      <w:r>
        <w:t xml:space="preserve">手指交叉 </w:t>
      </w:r>
      <w:r>
        <w:rPr>
          <w:b/>
        </w:rPr>
        <w:t>65.12%（28/43）</w:t>
      </w:r>
      <w:r>
        <w:t xml:space="preserve">；手持物 </w:t>
      </w:r>
      <w:r>
        <w:rPr>
          <w:b/>
        </w:rPr>
        <w:t>62.78%（113/180）</w:t>
      </w:r>
      <w:r>
        <w:t xml:space="preserve">；手指下垂/手指未露出 </w:t>
      </w:r>
      <w:r>
        <w:rPr>
          <w:b/>
        </w:rPr>
        <w:t>68.54%（146/213）</w:t>
      </w:r>
      <w:r>
        <w:t xml:space="preserve">；其他状态 </w:t>
      </w:r>
      <w:r>
        <w:rPr>
          <w:b/>
        </w:rPr>
        <w:t>76.79%（43/56）</w:t>
      </w:r>
      <w:r>
        <w:t xml:space="preserve">；手抱胸 </w:t>
      </w:r>
      <w:r>
        <w:rPr>
          <w:b/>
        </w:rPr>
        <w:t>62.5%（5/8）</w:t>
      </w:r>
      <w:r>
        <w:t>。</w:t>
      </w:r>
    </w:p>
    <w:p>
      <w:r>
        <w:t xml:space="preserve">风险：异常率在所有分组均超过 </w:t>
      </w:r>
      <w:r>
        <w:rPr>
          <w:b/>
        </w:rPr>
        <w:t>60%</w:t>
      </w:r>
      <w:r>
        <w:t>，说明常见错误类型较集中。</w:t>
      </w:r>
    </w:p>
    <w:p/>
    <w:p>
      <w:pPr>
        <w:pStyle w:val="ListBullet"/>
      </w:pPr>
      <w:r/>
      <w:r>
        <w:rPr>
          <w:b/>
        </w:rPr>
        <w:t>生成为空</w:t>
      </w:r>
      <w:r>
        <w:t xml:space="preserve">（极低但需排查）：全部 </w:t>
      </w:r>
      <w:r>
        <w:rPr>
          <w:b/>
        </w:rPr>
        <w:t>2.8%（14/500）</w:t>
      </w:r>
      <w:r>
        <w:t xml:space="preserve">。其中其他状态最高 </w:t>
      </w:r>
      <w:r>
        <w:rPr>
          <w:b/>
        </w:rPr>
        <w:t>12.5%（7/56）</w:t>
      </w:r>
      <w:r>
        <w:t xml:space="preserve">；手指交叉与手指下垂/手指未露出为 </w:t>
      </w:r>
      <w:r>
        <w:rPr>
          <w:b/>
        </w:rPr>
        <w:t>0%</w:t>
      </w:r>
      <w:r>
        <w:t>。</w:t>
      </w:r>
    </w:p>
    <w:p>
      <w:r>
        <w:t>风险：小比例但可能对应关键流程失败或输入质量问题。</w:t>
      </w:r>
    </w:p>
    <w:p/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，其中手持物相对偏高 </w:t>
      </w:r>
      <w:r>
        <w:rPr>
          <w:b/>
        </w:rPr>
        <w:t>11.67%（21/180）</w:t>
      </w:r>
      <w:r>
        <w:t>。</w:t>
      </w:r>
    </w:p>
    <w:p>
      <w:r>
        <w:t>风险：肢体局部仍存在明显偏差。</w:t>
      </w:r>
    </w:p>
    <w:p/>
    <w:p>
      <w:pPr>
        <w:pStyle w:val="ListBullet"/>
      </w:pPr>
      <w:r/>
      <w:r>
        <w:rPr>
          <w:b/>
        </w:rPr>
        <w:t>服装还原（整体不还原率）</w:t>
      </w:r>
      <w:r>
        <w:t xml:space="preserve">：整体 </w:t>
      </w:r>
      <w:r>
        <w:rPr>
          <w:b/>
        </w:rPr>
        <w:t>60.6%（303/500）</w:t>
      </w:r>
      <w:r>
        <w:t>，为最主要短板。</w:t>
      </w:r>
    </w:p>
    <w:p>
      <w:pPr>
        <w:pStyle w:val="ListBullet"/>
      </w:pPr>
      <w:r>
        <w:t xml:space="preserve">手指下垂/手指未露出最高 </w:t>
      </w:r>
      <w:r>
        <w:rPr>
          <w:b/>
        </w:rPr>
        <w:t>64.79%（138/213）</w:t>
      </w:r>
      <w:r>
        <w:t xml:space="preserve">；手抱胸最低 </w:t>
      </w:r>
      <w:r>
        <w:rPr>
          <w:b/>
        </w:rPr>
        <w:t>37.5%（3/8）</w:t>
      </w:r>
      <w:r>
        <w:t xml:space="preserve">；其他状态 </w:t>
      </w:r>
      <w:r>
        <w:rPr>
          <w:b/>
        </w:rPr>
        <w:t>62.5%（35/56）</w:t>
      </w:r>
      <w:r>
        <w:t>。</w:t>
      </w:r>
    </w:p>
    <w:p/>
    <w:p>
      <w:pPr>
        <w:pStyle w:val="ListBullet"/>
      </w:pPr>
      <w:r/>
      <w:r>
        <w:rPr>
          <w:b/>
        </w:rPr>
        <w:t>服装还原（上装不还原率）</w:t>
      </w:r>
      <w:r>
        <w:t xml:space="preserve">：整体 </w:t>
      </w:r>
      <w:r>
        <w:rPr>
          <w:b/>
        </w:rPr>
        <w:t>38.8%（194/500）</w:t>
      </w:r>
      <w:r>
        <w:t xml:space="preserve">，其他状态最高 </w:t>
      </w:r>
      <w:r>
        <w:rPr>
          <w:b/>
        </w:rPr>
        <w:t>48.21%（27/56）</w:t>
      </w:r>
      <w:r>
        <w:t xml:space="preserve">。手抱胸为 </w:t>
      </w:r>
      <w:r>
        <w:rPr>
          <w:b/>
        </w:rPr>
        <w:t>0.0%（0/8）</w:t>
      </w:r>
      <w:r>
        <w:t>（但样本量仅8）。</w:t>
      </w:r>
    </w:p>
    <w:p>
      <w:pPr>
        <w:pStyle w:val="ListBullet"/>
      </w:pPr>
      <w:r/>
      <w:r>
        <w:rPr>
          <w:b/>
        </w:rPr>
        <w:t>服装还原（下装不还原率）</w:t>
      </w:r>
      <w:r>
        <w:t xml:space="preserve">：整体 </w:t>
      </w:r>
      <w:r>
        <w:rPr>
          <w:b/>
        </w:rPr>
        <w:t>39.0%（195/500）</w:t>
      </w:r>
      <w:r>
        <w:t xml:space="preserve">，手指交叉反而较高 </w:t>
      </w:r>
      <w:r>
        <w:rPr>
          <w:b/>
        </w:rPr>
        <w:t>44.19%（19/43）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 </w:t>
      </w:r>
      <w:r>
        <w:rPr>
          <w:b/>
        </w:rPr>
        <w:t>1.8%（9/500）</w:t>
      </w:r>
      <w:r>
        <w:t xml:space="preserve">，但手抱胸为 </w:t>
      </w:r>
      <w:r>
        <w:rPr>
          <w:b/>
        </w:rPr>
        <w:t>25.0%（2/8）</w:t>
      </w:r>
      <w:r>
        <w:t>，需警惕小样本波动。</w:t>
      </w:r>
    </w:p>
    <w:p/>
    <w:p>
      <w:pPr>
        <w:pStyle w:val="Heading2"/>
      </w:pPr>
      <w:r>
        <w:rPr>
          <w:sz w:val="32"/>
        </w:rPr>
        <w:t>3. 风险提示（低指标重点）</w:t>
      </w:r>
    </w:p>
    <w:p>
      <w:r>
        <w:t xml:space="preserve">1) 服装还原整体不还原率高达 </w:t>
      </w:r>
      <w:r>
        <w:rPr>
          <w:b/>
        </w:rPr>
        <w:t>60.6%（303/500）</w:t>
      </w:r>
      <w:r>
        <w:t>，是最核心质量风险。</w:t>
      </w:r>
    </w:p>
    <w:p>
      <w:r>
        <w:t xml:space="preserve">2) 通过率偏低 </w:t>
      </w:r>
      <w:r>
        <w:rPr>
          <w:b/>
        </w:rPr>
        <w:t>33.0%（165/500）</w:t>
      </w:r>
      <w:r>
        <w:t>，提示整体判定/标注策略存在系统性问题。</w:t>
      </w:r>
    </w:p>
    <w:p>
      <w:r>
        <w:t xml:space="preserve">3) 其他状态异常率最高 </w:t>
      </w:r>
      <w:r>
        <w:rPr>
          <w:b/>
        </w:rPr>
        <w:t>76.79%（43/56）</w:t>
      </w:r>
      <w:r>
        <w:t>，该分组是主要质量黑点。</w:t>
      </w:r>
    </w:p>
    <w:p/>
    <w:p>
      <w:pPr>
        <w:pStyle w:val="Heading2"/>
      </w:pPr>
      <w:r>
        <w:rPr>
          <w:sz w:val="32"/>
        </w:rPr>
        <w:t>4. 问题归因（推测）</w:t>
      </w:r>
    </w:p>
    <w:p>
      <w:pPr>
        <w:pStyle w:val="ListBullet"/>
      </w:pPr>
      <w:r/>
      <w:r>
        <w:rPr>
          <w:b/>
        </w:rPr>
        <w:t>判定标准不一致或标注难度高</w:t>
      </w:r>
      <w:r>
        <w:t>：服装还原相关指标多项偏高（整体/上下装均高），通常由“边界条件”与“可视证据不足”导致。</w:t>
      </w:r>
    </w:p>
    <w:p>
      <w:pPr>
        <w:pStyle w:val="ListBullet"/>
      </w:pPr>
      <w:r/>
      <w:r>
        <w:rPr>
          <w:b/>
        </w:rPr>
        <w:t>分组语义与标注规则耦合不足</w:t>
      </w:r>
      <w:r>
        <w:t xml:space="preserve">：如“手指下垂/手指未露出”异常率 </w:t>
      </w:r>
      <w:r>
        <w:rPr>
          <w:b/>
        </w:rPr>
        <w:t>68.54%</w:t>
      </w:r>
      <w:r>
        <w:t xml:space="preserve">且服装不还原率 </w:t>
      </w:r>
      <w:r>
        <w:rPr>
          <w:b/>
        </w:rPr>
        <w:t>64.79%</w:t>
      </w:r>
      <w:r>
        <w:t>，可能存在同一类遮挡/姿态导致模型或标注难以稳定判定。</w:t>
      </w:r>
    </w:p>
    <w:p>
      <w:pPr>
        <w:pStyle w:val="ListBullet"/>
      </w:pPr>
      <w:r/>
      <w:r>
        <w:rPr>
          <w:b/>
        </w:rPr>
        <w:t>样本质量波动</w:t>
      </w:r>
      <w:r>
        <w:t xml:space="preserve">：生成为空在“其他状态”达到 </w:t>
      </w:r>
      <w:r>
        <w:rPr>
          <w:b/>
        </w:rPr>
        <w:t>12.5%（7/56）</w:t>
      </w:r>
      <w:r>
        <w:t>，更像输入或流程失败而非普遍标注错误。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r>
        <w:t xml:space="preserve">1) </w:t>
      </w:r>
      <w:r>
        <w:rPr>
          <w:b/>
        </w:rPr>
        <w:t>强化服装还原标注指南</w:t>
      </w:r>
      <w:r>
        <w:t>：补充“上/下装边界、判定证据优先级、遮挡处理规则”，并提供典型样例对照。</w:t>
      </w:r>
    </w:p>
    <w:p>
      <w:r>
        <w:t xml:space="preserve">2) </w:t>
      </w:r>
      <w:r>
        <w:rPr>
          <w:b/>
        </w:rPr>
        <w:t>分组专项质检</w:t>
      </w:r>
      <w:r>
        <w:t>：对“其他状态”“手指下垂/手指未露出”抽样复审，重点核查异常原因类别与一致性（建议设置错误率阈值）。</w:t>
      </w:r>
    </w:p>
    <w:p>
      <w:r>
        <w:t xml:space="preserve">3) </w:t>
      </w:r>
      <w:r>
        <w:rPr>
          <w:b/>
        </w:rPr>
        <w:t>引入一致性抽查机制</w:t>
      </w:r>
      <w:r>
        <w:t>：对通过率低的样本进行双人标注或仲裁，统计分歧类型并回灌规则。</w:t>
      </w:r>
    </w:p>
    <w:p>
      <w:r>
        <w:t xml:space="preserve">4) </w:t>
      </w:r>
      <w:r>
        <w:rPr>
          <w:b/>
        </w:rPr>
        <w:t>流程排查生成为空</w:t>
      </w:r>
      <w:r>
        <w:t xml:space="preserve">：对“其他状态”中 </w:t>
      </w:r>
      <w:r>
        <w:rPr>
          <w:b/>
        </w:rPr>
        <w:t>7/56</w:t>
      </w:r>
      <w:r>
        <w:t xml:space="preserve"> 的样本追踪输入来源、关键字段完整性与渲染/生成链路。</w:t>
      </w:r>
    </w:p>
    <w:p>
      <w:r>
        <w:t xml:space="preserve">5) </w:t>
      </w:r>
      <w:r>
        <w:rPr>
          <w:b/>
        </w:rPr>
        <w:t>小样本谨慎评估</w:t>
      </w:r>
      <w:r>
        <w:t xml:space="preserve">：手抱胸相关异常率虽高到 </w:t>
      </w:r>
      <w:r>
        <w:rPr>
          <w:b/>
        </w:rPr>
        <w:t>25.0%（2/8）</w:t>
      </w:r>
      <w:r>
        <w:t>，建议扩大样本或确保该分组标注口径稳定后再做策略调整。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