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16:56:42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评测总数（全部数据汇总为分母）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本次标注整体质量偏弱：通过率仅 </w:t>
      </w:r>
      <w:r>
        <w:rPr>
          <w:b/>
        </w:rPr>
        <w:t>5.8%（29/500）</w:t>
      </w:r>
      <w:r>
        <w:t xml:space="preserve">，异常率较高为 </w:t>
      </w:r>
      <w:r>
        <w:rPr>
          <w:b/>
        </w:rPr>
        <w:t>67.0%（335/500）</w:t>
      </w:r>
      <w:r>
        <w:t>，显示出较多样本存在明确标注不一致或判定错误。分组间波动明显，其中“</w:t>
      </w:r>
      <w:r>
        <w:rPr>
          <w:b/>
        </w:rPr>
        <w:t>其他状态</w:t>
      </w:r>
      <w:r>
        <w:t>”与“</w:t>
      </w:r>
      <w:r>
        <w:rPr>
          <w:b/>
        </w:rPr>
        <w:t>手指下垂/手指未露出</w:t>
      </w:r>
      <w:r>
        <w:t>”的异常与还原问题更突出。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 xml:space="preserve">：全部 </w:t>
      </w:r>
      <w:r>
        <w:rPr>
          <w:b/>
        </w:rPr>
        <w:t>5.8%（29/500）</w:t>
      </w:r>
      <w:r>
        <w:t xml:space="preserve">，各分组整体偏低。相对较好为“手持物 </w:t>
      </w:r>
      <w:r>
        <w:rPr>
          <w:b/>
        </w:rPr>
        <w:t>8.89%（16/180）</w:t>
      </w:r>
      <w:r>
        <w:t xml:space="preserve">”，最差为“手抱胸 </w:t>
      </w:r>
      <w:r>
        <w:rPr>
          <w:b/>
        </w:rPr>
        <w:t>0.0%（0/8）</w:t>
      </w:r>
      <w:r>
        <w:t>”，但样本量小需谨慎解读。</w:t>
      </w:r>
    </w:p>
    <w:p>
      <w:pPr>
        <w:pStyle w:val="ListBullet"/>
      </w:pPr>
      <w:r/>
      <w:r>
        <w:rPr>
          <w:b/>
        </w:rPr>
        <w:t>整体异常率</w:t>
      </w:r>
      <w:r>
        <w:t xml:space="preserve">（越低越好）：全部 </w:t>
      </w:r>
      <w:r>
        <w:rPr>
          <w:b/>
        </w:rPr>
        <w:t>67.0%（335/500）</w:t>
      </w:r>
      <w:r>
        <w:t xml:space="preserve">。各分组均高于通过率，且普遍偏向异常主导：手指交叉 </w:t>
      </w:r>
      <w:r>
        <w:rPr>
          <w:b/>
        </w:rPr>
        <w:t>65.12%（28/43）</w:t>
      </w:r>
      <w:r>
        <w:t xml:space="preserve">、手持物 </w:t>
      </w:r>
      <w:r>
        <w:rPr>
          <w:b/>
        </w:rPr>
        <w:t>62.78%（113/180）</w:t>
      </w:r>
      <w:r>
        <w:t xml:space="preserve">、手指下垂/手指未露出 </w:t>
      </w:r>
      <w:r>
        <w:rPr>
          <w:b/>
        </w:rPr>
        <w:t>68.54%（146/213）</w:t>
      </w:r>
      <w:r>
        <w:t xml:space="preserve">、其他状态 </w:t>
      </w:r>
      <w:r>
        <w:rPr>
          <w:b/>
        </w:rPr>
        <w:t>76.79%（43/56）</w:t>
      </w:r>
      <w:r>
        <w:t>。</w:t>
      </w:r>
    </w:p>
    <w:p>
      <w:pPr>
        <w:pStyle w:val="ListBullet"/>
      </w:pPr>
      <w:r/>
      <w:r>
        <w:rPr>
          <w:b/>
        </w:rPr>
        <w:t>生成为空</w:t>
      </w:r>
      <w:r>
        <w:t xml:space="preserve">：整体为 </w:t>
      </w:r>
      <w:r>
        <w:rPr>
          <w:b/>
        </w:rPr>
        <w:t>2.8%（14/500）</w:t>
      </w:r>
      <w:r>
        <w:t xml:space="preserve">，但存在“其他状态”明显偏高 </w:t>
      </w:r>
      <w:r>
        <w:rPr>
          <w:b/>
        </w:rPr>
        <w:t>12.5%（7/56）</w:t>
      </w:r>
      <w:r>
        <w:t xml:space="preserve">；其余分组多接近低位（手指交叉 </w:t>
      </w:r>
      <w:r>
        <w:rPr>
          <w:b/>
        </w:rPr>
        <w:t>0.0%（0/43）</w:t>
      </w:r>
      <w:r>
        <w:t xml:space="preserve">、手指下垂/未露出 </w:t>
      </w:r>
      <w:r>
        <w:rPr>
          <w:b/>
        </w:rPr>
        <w:t>0.0%（0/213）</w:t>
      </w:r>
      <w:r>
        <w:t>）。</w:t>
      </w:r>
    </w:p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，手持物相对高 </w:t>
      </w:r>
      <w:r>
        <w:rPr>
          <w:b/>
        </w:rPr>
        <w:t>11.67%（21/180）</w:t>
      </w:r>
      <w:r>
        <w:t xml:space="preserve">，手指交叉最低 </w:t>
      </w:r>
      <w:r>
        <w:rPr>
          <w:b/>
        </w:rPr>
        <w:t>4.65%（2/43）</w:t>
      </w:r>
      <w:r>
        <w:t>。</w:t>
      </w:r>
    </w:p>
    <w:p>
      <w:pPr>
        <w:pStyle w:val="ListBullet"/>
      </w:pPr>
      <w:r/>
      <w:r>
        <w:rPr>
          <w:b/>
        </w:rPr>
        <w:t>服装还原</w:t>
      </w:r>
      <w:r>
        <w:t xml:space="preserve">（不还原率）：整体不还原 </w:t>
      </w:r>
      <w:r>
        <w:rPr>
          <w:b/>
        </w:rPr>
        <w:t>60.6%（303/500）</w:t>
      </w:r>
      <w:r>
        <w:t xml:space="preserve">，其中“手指下垂/手指未露出”最高 </w:t>
      </w:r>
      <w:r>
        <w:rPr>
          <w:b/>
        </w:rPr>
        <w:t>64.79%（138/213）</w:t>
      </w:r>
      <w:r>
        <w:t>；手抱胸相对较低（但样本极少）</w:t>
      </w:r>
      <w:r>
        <w:rPr>
          <w:b/>
        </w:rPr>
        <w:t>37.5%（3/8）</w:t>
      </w:r>
      <w:r>
        <w:t>。</w:t>
      </w:r>
    </w:p>
    <w:p>
      <w:pPr>
        <w:pStyle w:val="ListBullet"/>
      </w:pPr>
      <w:r/>
      <w:r>
        <w:rPr>
          <w:b/>
        </w:rPr>
        <w:t>上装不还原率</w:t>
      </w:r>
      <w:r>
        <w:t xml:space="preserve">：整体 </w:t>
      </w:r>
      <w:r>
        <w:rPr>
          <w:b/>
        </w:rPr>
        <w:t>38.8%（194/500）</w:t>
      </w:r>
      <w:r>
        <w:t xml:space="preserve">，其他状态最高 </w:t>
      </w:r>
      <w:r>
        <w:rPr>
          <w:b/>
        </w:rPr>
        <w:t>48.21%（27/56）</w:t>
      </w:r>
      <w:r>
        <w:t>。</w:t>
      </w:r>
    </w:p>
    <w:p>
      <w:pPr>
        <w:pStyle w:val="ListBullet"/>
      </w:pPr>
      <w:r/>
      <w:r>
        <w:rPr>
          <w:b/>
        </w:rPr>
        <w:t>下装不还原率</w:t>
      </w:r>
      <w:r>
        <w:t xml:space="preserve">：整体 </w:t>
      </w:r>
      <w:r>
        <w:rPr>
          <w:b/>
        </w:rPr>
        <w:t>39.0%（195/500）</w:t>
      </w:r>
      <w:r>
        <w:t xml:space="preserve">，手指交叉最高 </w:t>
      </w:r>
      <w:r>
        <w:rPr>
          <w:b/>
        </w:rPr>
        <w:t>44.19%（19/43）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：整体较低 </w:t>
      </w:r>
      <w:r>
        <w:rPr>
          <w:b/>
        </w:rPr>
        <w:t>1.8%（9/500）</w:t>
      </w:r>
      <w:r>
        <w:t xml:space="preserve">，但“手抱胸”异常为 </w:t>
      </w:r>
      <w:r>
        <w:rPr>
          <w:b/>
        </w:rPr>
        <w:t>25.0%（2/8）</w:t>
      </w:r>
      <w:r>
        <w:t>（同样样本小）。</w:t>
      </w:r>
    </w:p>
    <w:p/>
    <w:p>
      <w:pPr>
        <w:pStyle w:val="Heading2"/>
      </w:pPr>
      <w:r>
        <w:rPr>
          <w:sz w:val="32"/>
        </w:rPr>
        <w:t>3. 风险提示</w:t>
      </w:r>
    </w:p>
    <w:p>
      <w:r>
        <w:t>重点风险集中在：</w:t>
      </w:r>
    </w:p>
    <w:p>
      <w:r>
        <w:t xml:space="preserve">1) </w:t>
      </w:r>
      <w:r>
        <w:rPr>
          <w:b/>
        </w:rPr>
        <w:t>通过率极低（5.8%）</w:t>
      </w:r>
      <w:r>
        <w:t>，说明整体标注一致性与可判定性不足；</w:t>
      </w:r>
    </w:p>
    <w:p>
      <w:r>
        <w:t xml:space="preserve">2) </w:t>
      </w:r>
      <w:r>
        <w:rPr>
          <w:b/>
        </w:rPr>
        <w:t>服装不还原显著高（60.6%）</w:t>
      </w:r>
      <w:r>
        <w:t xml:space="preserve">，且在多个分组中均超过60%（如手指下垂/未露出 </w:t>
      </w:r>
      <w:r>
        <w:rPr>
          <w:b/>
        </w:rPr>
        <w:t>64.79%</w:t>
      </w:r>
      <w:r>
        <w:t>）；</w:t>
      </w:r>
    </w:p>
    <w:p>
      <w:r>
        <w:t xml:space="preserve">3) </w:t>
      </w:r>
      <w:r>
        <w:rPr>
          <w:b/>
        </w:rPr>
        <w:t>生成为空在“其他状态”偏高（12.5%）</w:t>
      </w:r>
      <w:r>
        <w:t>，可能造成后续指标连带恶化。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/>
      <w:r>
        <w:rPr>
          <w:b/>
        </w:rPr>
        <w:t>标注判定口径或流程不统一</w:t>
      </w:r>
      <w:r>
        <w:t>：异常率高且通过率低，可能存在“判定阈值/动作类别定义”与标注员理解不一致。</w:t>
      </w:r>
    </w:p>
    <w:p>
      <w:pPr>
        <w:pStyle w:val="ListBullet"/>
      </w:pPr>
      <w:r/>
      <w:r>
        <w:rPr>
          <w:b/>
        </w:rPr>
        <w:t>服装还原规则偏难或参考不足</w:t>
      </w:r>
      <w:r>
        <w:t xml:space="preserve">：不还原率在上下装都高（上装 </w:t>
      </w:r>
      <w:r>
        <w:rPr>
          <w:b/>
        </w:rPr>
        <w:t>38.8%</w:t>
      </w:r>
      <w:r>
        <w:t xml:space="preserve">、下装 </w:t>
      </w:r>
      <w:r>
        <w:rPr>
          <w:b/>
        </w:rPr>
        <w:t>39.0%</w:t>
      </w:r>
      <w:r>
        <w:t>），推测与遮挡、姿态变化（尤其手指下垂/未露出）导致对服装边界与类别还原困难。</w:t>
      </w:r>
    </w:p>
    <w:p>
      <w:pPr>
        <w:pStyle w:val="ListBullet"/>
      </w:pPr>
      <w:r/>
      <w:r>
        <w:rPr>
          <w:b/>
        </w:rPr>
        <w:t>少样本分组波动</w:t>
      </w:r>
      <w:r>
        <w:t xml:space="preserve">：手抱胸等样本量较小（如 </w:t>
      </w:r>
      <w:r>
        <w:rPr>
          <w:b/>
        </w:rPr>
        <w:t>8</w:t>
      </w:r>
      <w:r>
        <w:t xml:space="preserve">），其穿着效果异常 </w:t>
      </w:r>
      <w:r>
        <w:rPr>
          <w:b/>
        </w:rPr>
        <w:t>25.0%（2/8）</w:t>
      </w:r>
      <w:r>
        <w:t>可能放大波动，但仍提示该类场景需要专项校验。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/>
      <w:r>
        <w:rPr>
          <w:b/>
        </w:rPr>
        <w:t>复核分组口径</w:t>
      </w:r>
      <w:r>
        <w:t>：对“手指状态”相关类的判定标准进行抽样一致性检查，重点校验导致异常的规则（如交叉/下垂/未露出边界条件）。</w:t>
      </w:r>
    </w:p>
    <w:p>
      <w:pPr>
        <w:pStyle w:val="ListNumber"/>
      </w:pPr>
      <w:r/>
      <w:r>
        <w:rPr>
          <w:b/>
        </w:rPr>
        <w:t>建立服装还原参照模板</w:t>
      </w:r>
      <w:r>
        <w:t>：为上装/下装分别给出典型示例与“可还原/不可还原”判定依据；对遮挡姿态（手指下垂/未露出）增加额外标注提示。</w:t>
      </w:r>
    </w:p>
    <w:p>
      <w:pPr>
        <w:pStyle w:val="ListNumber"/>
      </w:pPr>
      <w:r/>
      <w:r>
        <w:rPr>
          <w:b/>
        </w:rPr>
        <w:t>针对“其他状态”做专项排查</w:t>
      </w:r>
      <w:r>
        <w:t xml:space="preserve">：生成为空 </w:t>
      </w:r>
      <w:r>
        <w:rPr>
          <w:b/>
        </w:rPr>
        <w:t>12.5%（7/56）</w:t>
      </w:r>
      <w:r>
        <w:t>需检查是否存在漏标、生成失败或类别映射缺失。</w:t>
      </w:r>
    </w:p>
    <w:p>
      <w:pPr>
        <w:pStyle w:val="ListNumber"/>
      </w:pPr>
      <w:r/>
      <w:r>
        <w:rPr>
          <w:b/>
        </w:rPr>
        <w:t>标注员二次确认机制</w:t>
      </w:r>
      <w:r>
        <w:t xml:space="preserve">：对异常率高的样本（异常占比 </w:t>
      </w:r>
      <w:r>
        <w:rPr>
          <w:b/>
        </w:rPr>
        <w:t>67%</w:t>
      </w:r>
      <w:r>
        <w:t>）设为二审优先池，减少一次性标注错误。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