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17:19:03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评测总数（全部数据汇总为分母）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生成为空（分项，计为整体异常的一种）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本次标注整体通过率仅 </w:t>
      </w:r>
      <w:r>
        <w:rPr>
          <w:b/>
        </w:rPr>
        <w:t>33.0%（165/500）</w:t>
      </w:r>
      <w:r>
        <w:t xml:space="preserve">，整体异常率较高为 </w:t>
      </w:r>
      <w:r>
        <w:rPr>
          <w:b/>
        </w:rPr>
        <w:t>67.0%（335/500）</w:t>
      </w:r>
      <w:r>
        <w:t>，说明标注一致性与规则达成度偏弱。按“手指状态”分组看，表现相对较好的为</w:t>
      </w:r>
      <w:r>
        <w:rPr>
          <w:b/>
        </w:rPr>
        <w:t>手持物（通过 37.22%）</w:t>
      </w:r>
      <w:r>
        <w:t>，而</w:t>
      </w:r>
      <w:r>
        <w:rPr>
          <w:b/>
        </w:rPr>
        <w:t>其他状态（通过 23.21%）</w:t>
      </w:r>
      <w:r>
        <w:t>显著偏低，存在较明显的分布性风险。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33.0%（165/500）</w:t>
      </w:r>
      <w:r>
        <w:t>：未达理想质量水平。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>：相对可接受但仍偏低。</w:t>
      </w:r>
    </w:p>
    <w:p>
      <w:pPr>
        <w:pStyle w:val="ListBullet"/>
      </w:pPr>
      <w:r>
        <w:t xml:space="preserve">手指下垂/未露出 </w:t>
      </w:r>
      <w:r>
        <w:rPr>
          <w:b/>
        </w:rPr>
        <w:t>31.46%（67/213）</w:t>
      </w:r>
      <w:r>
        <w:t>：中等偏低。</w:t>
      </w:r>
    </w:p>
    <w:p>
      <w:pPr>
        <w:pStyle w:val="ListBullet"/>
      </w:pPr>
      <w:r>
        <w:t xml:space="preserve">其他状态 </w:t>
      </w:r>
      <w:r>
        <w:rPr>
          <w:b/>
        </w:rPr>
        <w:t>23.21%（13/56）</w:t>
      </w:r>
      <w:r>
        <w:t>：明显风险分组。</w:t>
      </w:r>
    </w:p>
    <w:p/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67.0%（335/500）</w:t>
      </w:r>
      <w:r>
        <w:t>：异常占比高。</w:t>
      </w:r>
    </w:p>
    <w:p>
      <w:pPr>
        <w:pStyle w:val="ListBullet"/>
      </w:pPr>
      <w:r>
        <w:t xml:space="preserve">其他状态异常率 </w:t>
      </w:r>
      <w:r>
        <w:rPr>
          <w:b/>
        </w:rPr>
        <w:t>76.79%（43/56）</w:t>
      </w:r>
      <w:r>
        <w:t xml:space="preserve">最高，其次手指下垂/未露出 </w:t>
      </w:r>
      <w:r>
        <w:rPr>
          <w:b/>
        </w:rPr>
        <w:t>68.54%（146/213）</w:t>
      </w:r>
      <w:r>
        <w:t xml:space="preserve">、手指交叉 </w:t>
      </w:r>
      <w:r>
        <w:rPr>
          <w:b/>
        </w:rPr>
        <w:t>65.12%（28/43）</w:t>
      </w:r>
      <w:r>
        <w:t>。</w:t>
      </w:r>
    </w:p>
    <w:p/>
    <w:p>
      <w:pPr>
        <w:pStyle w:val="ListBullet"/>
      </w:pPr>
      <w:r/>
      <w:r>
        <w:rPr>
          <w:b/>
        </w:rPr>
        <w:t>生成为空（异常的一部分）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2.8%（14/500）</w:t>
      </w:r>
      <w:r>
        <w:t xml:space="preserve">：总体可控，但需注意其他状态 </w:t>
      </w:r>
      <w:r>
        <w:rPr>
          <w:b/>
        </w:rPr>
        <w:t>12.5%（7/56）</w:t>
      </w:r>
      <w:r>
        <w:t>显著高，提示该分组标注/生成稳定性较差。</w:t>
      </w:r>
    </w:p>
    <w:p>
      <w:pPr>
        <w:pStyle w:val="ListBullet"/>
      </w:pPr>
      <w:r>
        <w:t xml:space="preserve">其他分组为 0 或较低：手指交叉 </w:t>
      </w:r>
      <w:r>
        <w:rPr>
          <w:b/>
        </w:rPr>
        <w:t>0/43</w:t>
      </w:r>
      <w:r>
        <w:t xml:space="preserve">、手指下垂/未露出 </w:t>
      </w:r>
      <w:r>
        <w:rPr>
          <w:b/>
        </w:rPr>
        <w:t>0/213</w:t>
      </w:r>
      <w:r>
        <w:t>。</w:t>
      </w:r>
    </w:p>
    <w:p/>
    <w:p>
      <w:pPr>
        <w:pStyle w:val="ListBullet"/>
      </w:pPr>
      <w:r/>
      <w:r>
        <w:rPr>
          <w:b/>
        </w:rPr>
        <w:t>肢体异常率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10.6%（53/500）</w:t>
      </w:r>
      <w:r>
        <w:t>：中等偏高。</w:t>
      </w:r>
    </w:p>
    <w:p>
      <w:pPr>
        <w:pStyle w:val="ListBullet"/>
      </w:pPr>
      <w:r>
        <w:t xml:space="preserve">手持物 </w:t>
      </w:r>
      <w:r>
        <w:rPr>
          <w:b/>
        </w:rPr>
        <w:t>11.67%（21/180）</w:t>
      </w:r>
      <w:r>
        <w:t>相对更高；整体结构性问题需排查。</w:t>
      </w:r>
    </w:p>
    <w:p/>
    <w:p>
      <w:pPr>
        <w:pStyle w:val="ListBullet"/>
      </w:pPr>
      <w:r/>
      <w:r>
        <w:rPr>
          <w:b/>
        </w:rPr>
        <w:t>服装还原相关（反映穿着/结构一致性）</w:t>
      </w:r>
      <w:r>
        <w:t>：</w:t>
      </w:r>
    </w:p>
    <w:p>
      <w:pPr>
        <w:pStyle w:val="ListBullet"/>
      </w:pPr>
      <w:r>
        <w:t xml:space="preserve">服装整体不还原率：全部 </w:t>
      </w:r>
      <w:r>
        <w:rPr>
          <w:b/>
        </w:rPr>
        <w:t>60.6%（303/500）</w:t>
      </w:r>
      <w:r>
        <w:t>，为主要问题来源之一。</w:t>
      </w:r>
    </w:p>
    <w:p>
      <w:pPr>
        <w:pStyle w:val="ListBullet"/>
      </w:pPr>
      <w:r>
        <w:t xml:space="preserve">服装上装不还原率：全部 </w:t>
      </w:r>
      <w:r>
        <w:rPr>
          <w:b/>
        </w:rPr>
        <w:t>38.8%（194/500）</w:t>
      </w:r>
      <w:r>
        <w:t xml:space="preserve">（手指下垂/未露出最高 </w:t>
      </w:r>
      <w:r>
        <w:rPr>
          <w:b/>
        </w:rPr>
        <w:t>42.72%（91/213）</w:t>
      </w:r>
      <w:r>
        <w:t>）。</w:t>
      </w:r>
    </w:p>
    <w:p>
      <w:pPr>
        <w:pStyle w:val="ListBullet"/>
      </w:pPr>
      <w:r>
        <w:t xml:space="preserve">服装下装不还原率：全部 </w:t>
      </w:r>
      <w:r>
        <w:rPr>
          <w:b/>
        </w:rPr>
        <w:t>39.0%（195/500）</w:t>
      </w:r>
      <w:r>
        <w:t xml:space="preserve">（手指交叉最高 </w:t>
      </w:r>
      <w:r>
        <w:rPr>
          <w:b/>
        </w:rPr>
        <w:t>44.19%（19/43）</w:t>
      </w:r>
      <w:r>
        <w:t>）。</w:t>
      </w:r>
    </w:p>
    <w:p>
      <w:pPr>
        <w:pStyle w:val="ListBullet"/>
      </w:pPr>
      <w:r>
        <w:t xml:space="preserve">穿着效果异常率：整体较低 </w:t>
      </w:r>
      <w:r>
        <w:rPr>
          <w:b/>
        </w:rPr>
        <w:t>1.8%（9/500）</w:t>
      </w:r>
      <w:r>
        <w:t>，说明“效果”维度问题不是主因。</w:t>
      </w:r>
    </w:p>
    <w:p/>
    <w:p>
      <w:pPr>
        <w:pStyle w:val="Heading2"/>
      </w:pPr>
      <w:r>
        <w:rPr>
          <w:sz w:val="32"/>
        </w:rPr>
        <w:t>3. 风险提示（低指标优先关注）</w:t>
      </w:r>
    </w:p>
    <w:p>
      <w:r>
        <w:t xml:space="preserve">1) </w:t>
      </w:r>
      <w:r>
        <w:rPr>
          <w:b/>
        </w:rPr>
        <w:t>整体通过率低（33.0%）</w:t>
      </w:r>
      <w:r>
        <w:t>与</w:t>
      </w:r>
      <w:r>
        <w:rPr>
          <w:b/>
        </w:rPr>
        <w:t>异常率高（67.0%）</w:t>
      </w:r>
      <w:r>
        <w:t>为首要风险。</w:t>
      </w:r>
    </w:p>
    <w:p>
      <w:r>
        <w:t>2) 分组“</w:t>
      </w:r>
      <w:r>
        <w:rPr>
          <w:b/>
        </w:rPr>
        <w:t>其他状态</w:t>
      </w:r>
      <w:r>
        <w:t xml:space="preserve">”表现最差：通过 </w:t>
      </w:r>
      <w:r>
        <w:rPr>
          <w:b/>
        </w:rPr>
        <w:t>23.21%（13/56）</w:t>
      </w:r>
      <w:r>
        <w:t xml:space="preserve">、异常 </w:t>
      </w:r>
      <w:r>
        <w:rPr>
          <w:b/>
        </w:rPr>
        <w:t>76.79%（43/56）</w:t>
      </w:r>
      <w:r>
        <w:t xml:space="preserve">，且“生成为空”高达 </w:t>
      </w:r>
      <w:r>
        <w:rPr>
          <w:b/>
        </w:rPr>
        <w:t>12.5%（7/56）</w:t>
      </w:r>
      <w:r>
        <w:t>。</w:t>
      </w:r>
    </w:p>
    <w:p>
      <w:r>
        <w:t xml:space="preserve">3) </w:t>
      </w:r>
      <w:r>
        <w:rPr>
          <w:b/>
        </w:rPr>
        <w:t>服装还原不一致</w:t>
      </w:r>
      <w:r>
        <w:t xml:space="preserve">占比大：整体不还原 </w:t>
      </w:r>
      <w:r>
        <w:rPr>
          <w:b/>
        </w:rPr>
        <w:t>60.6%（303/500）</w:t>
      </w:r>
      <w:r>
        <w:t xml:space="preserve">，上/下装不还原均约 </w:t>
      </w:r>
      <w:r>
        <w:rPr>
          <w:b/>
        </w:rPr>
        <w:t>39%</w:t>
      </w:r>
      <w:r>
        <w:t>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>服装还原不一致（整体不还原 60.6%）提示标注或模型对服装结构（领口/袖长/下摆/裤型）匹配不稳定，且在手指下垂/未露出与其他状态更突出。</w:t>
      </w:r>
    </w:p>
    <w:p>
      <w:pPr>
        <w:pStyle w:val="ListBullet"/>
      </w:pPr>
      <w:r>
        <w:t>“其他状态”生成为空偏高（12.5%）可能与该类姿态边界定义更模糊、触发了生成失败条件或筛选策略不当有关。</w:t>
      </w:r>
    </w:p>
    <w:p>
      <w:pPr>
        <w:pStyle w:val="ListBullet"/>
      </w:pPr>
      <w:r>
        <w:t>肢体异常率 10.6%说明姿态关键点/肢体状态标注可能存在漏标或判定阈值偏宽。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r>
        <w:t xml:space="preserve">1) </w:t>
      </w:r>
      <w:r>
        <w:rPr>
          <w:b/>
        </w:rPr>
        <w:t>分组专项质检</w:t>
      </w:r>
      <w:r>
        <w:t>：对“其他状态”（56条样本）进行复核，重点检查生成为空触发原因（提示规则、样本筛选、失败回退策略）。</w:t>
      </w:r>
    </w:p>
    <w:p>
      <w:r>
        <w:t xml:space="preserve">2) </w:t>
      </w:r>
      <w:r>
        <w:rPr>
          <w:b/>
        </w:rPr>
        <w:t>服装还原规则强化</w:t>
      </w:r>
      <w:r>
        <w:t>：将上装/下装不还原作为重点，细化标注判定要点（衣领位置、袖长、裤型/裙摆边界、贴合度），并增加可视化对齐检查。</w:t>
      </w:r>
    </w:p>
    <w:p>
      <w:r>
        <w:t xml:space="preserve">3) </w:t>
      </w:r>
      <w:r>
        <w:rPr>
          <w:b/>
        </w:rPr>
        <w:t>异常闭环</w:t>
      </w:r>
      <w:r>
        <w:t>：对整体异常的高频类型建立“异常-根因-修正”链路，优先处理与服装结构不一致相关的失败案例。</w:t>
      </w:r>
    </w:p>
    <w:p>
      <w:r>
        <w:t xml:space="preserve">4) </w:t>
      </w:r>
      <w:r>
        <w:rPr>
          <w:b/>
        </w:rPr>
        <w:t>标注一致性校准</w:t>
      </w:r>
      <w:r>
        <w:t>：对“肢体异常”（10.6%）开展标注指南同步与抽样一致性评估，统一“手指状态”的边界定义与判定阈值。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