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17:49:43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评测总数：本行以行汇总为分母；所有指标的分母均为全部数据（列汇总为分母时不额外筛选条件）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本次标注整体通过率为 </w:t>
      </w:r>
      <w:r>
        <w:rPr>
          <w:b/>
        </w:rPr>
        <w:t>33.0%（165/500）</w:t>
      </w:r>
      <w:r>
        <w:t xml:space="preserve">，异常率较高，达到 </w:t>
      </w:r>
      <w:r>
        <w:rPr>
          <w:b/>
        </w:rPr>
        <w:t>67.0%（335/500）</w:t>
      </w:r>
      <w:r>
        <w:t>，说明当前标注一致性与合规性整体偏弱。分组对比显示不同“手指状态”下表现差异明显，尤其在“其他状态”与“手指下垂/手指未露出”分组中异常更集中。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/>
    </w:p>
    <w:p>
      <w:r>
        <w:t xml:space="preserve">全部 </w:t>
      </w:r>
      <w:r>
        <w:rPr>
          <w:b/>
        </w:rPr>
        <w:t>33.0%（165/500）</w:t>
      </w:r>
      <w:r>
        <w:t>。分组上，“手持物”相对更高：</w:t>
      </w:r>
      <w:r>
        <w:rPr>
          <w:b/>
        </w:rPr>
        <w:t>37.22%（67/180）</w:t>
      </w:r>
      <w:r>
        <w:t>；“手指下垂/手指未露出”偏低：</w:t>
      </w:r>
      <w:r>
        <w:rPr>
          <w:b/>
        </w:rPr>
        <w:t>31.46%（67/213）</w:t>
      </w:r>
      <w:r>
        <w:t>；“其他状态”最低：</w:t>
      </w:r>
      <w:r>
        <w:rPr>
          <w:b/>
        </w:rPr>
        <w:t>23.21%（13/56）</w:t>
      </w:r>
      <w:r>
        <w:t>。存在明显风险点，需重点排查低通过分组。</w:t>
      </w:r>
    </w:p>
    <w:p/>
    <w:p>
      <w:pPr>
        <w:pStyle w:val="ListBullet"/>
      </w:pPr>
      <w:r/>
      <w:r>
        <w:rPr>
          <w:b/>
        </w:rPr>
        <w:t>整体异常率</w:t>
      </w:r>
      <w:r/>
    </w:p>
    <w:p>
      <w:r>
        <w:t xml:space="preserve">全部 </w:t>
      </w:r>
      <w:r>
        <w:rPr>
          <w:b/>
        </w:rPr>
        <w:t>67.0%（335/500）</w:t>
      </w:r>
      <w:r>
        <w:t>，其中“其他状态”最高：</w:t>
      </w:r>
      <w:r>
        <w:rPr>
          <w:b/>
        </w:rPr>
        <w:t>76.79%（43/56）</w:t>
      </w:r>
      <w:r>
        <w:t>；“手指下垂/手指未露出”次高：</w:t>
      </w:r>
      <w:r>
        <w:rPr>
          <w:b/>
        </w:rPr>
        <w:t>68.54%（146/213）</w:t>
      </w:r>
      <w:r>
        <w:t>；“手指交叉”相对较低：</w:t>
      </w:r>
      <w:r>
        <w:rPr>
          <w:b/>
        </w:rPr>
        <w:t>65.12%（28/43）</w:t>
      </w:r>
      <w:r>
        <w:t>。总体异常偏多，提示规则理解或标注边界把握存在问题。</w:t>
      </w:r>
    </w:p>
    <w:p/>
    <w:p>
      <w:pPr>
        <w:pStyle w:val="ListBullet"/>
      </w:pPr>
      <w:r/>
      <w:r>
        <w:rPr>
          <w:b/>
        </w:rPr>
        <w:t>生成为空</w:t>
      </w:r>
      <w:r>
        <w:t>（生成为空的严重性指标）</w:t>
      </w:r>
    </w:p>
    <w:p>
      <w:r>
        <w:t xml:space="preserve">全部 </w:t>
      </w:r>
      <w:r>
        <w:rPr>
          <w:b/>
        </w:rPr>
        <w:t>2.8%（14/500）</w:t>
      </w:r>
      <w:r>
        <w:t>，但各分组差异大：</w:t>
      </w:r>
    </w:p>
    <w:p>
      <w:pPr>
        <w:pStyle w:val="ListBullet"/>
      </w:pPr>
      <w:r>
        <w:t xml:space="preserve">手指交叉 </w:t>
      </w:r>
      <w:r>
        <w:rPr>
          <w:b/>
        </w:rPr>
        <w:t>0.0%（0/43）</w:t>
      </w:r>
      <w:r>
        <w:t xml:space="preserve">、手指下垂/手指未露出 </w:t>
      </w:r>
      <w:r>
        <w:rPr>
          <w:b/>
        </w:rPr>
        <w:t>0.0%（0/213）</w:t>
      </w:r>
      <w:r>
        <w:t xml:space="preserve">、手抱胸 </w:t>
      </w:r>
      <w:r>
        <w:rPr>
          <w:b/>
        </w:rPr>
        <w:t>0.0%（0/8）</w:t>
      </w:r>
      <w:r>
        <w:t>；</w:t>
      </w:r>
    </w:p>
    <w:p>
      <w:pPr>
        <w:pStyle w:val="ListBullet"/>
      </w:pPr>
      <w:r>
        <w:t xml:space="preserve">其他状态 </w:t>
      </w:r>
      <w:r>
        <w:rPr>
          <w:b/>
        </w:rPr>
        <w:t>12.5%（7/56）</w:t>
      </w:r>
      <w:r>
        <w:t>为最高风险。该项虽低于整体异常，但对样本质量影响直接。</w:t>
      </w:r>
    </w:p>
    <w:p/>
    <w:p>
      <w:pPr>
        <w:pStyle w:val="ListBullet"/>
      </w:pPr>
      <w:r/>
      <w:r>
        <w:rPr>
          <w:b/>
        </w:rPr>
        <w:t>肢体异常率</w:t>
      </w:r>
      <w:r/>
    </w:p>
    <w:p>
      <w:r>
        <w:t xml:space="preserve">全部 </w:t>
      </w:r>
      <w:r>
        <w:rPr>
          <w:b/>
        </w:rPr>
        <w:t>10.6%（53/500）</w:t>
      </w:r>
      <w:r>
        <w:t xml:space="preserve">，最高为“手持物” </w:t>
      </w:r>
      <w:r>
        <w:rPr>
          <w:b/>
        </w:rPr>
        <w:t>11.67%（21/180）</w:t>
      </w:r>
      <w:r>
        <w:t xml:space="preserve">，最低“手指交叉” </w:t>
      </w:r>
      <w:r>
        <w:rPr>
          <w:b/>
        </w:rPr>
        <w:t>4.65%（2/43）</w:t>
      </w:r>
      <w:r>
        <w:t>。整体中等偏高，需检查肢体边界与姿态判定。</w:t>
      </w:r>
    </w:p>
    <w:p/>
    <w:p>
      <w:pPr>
        <w:pStyle w:val="ListBullet"/>
      </w:pPr>
      <w:r/>
      <w:r>
        <w:rPr>
          <w:b/>
        </w:rPr>
        <w:t>服装还原</w:t>
      </w:r>
      <w:r/>
    </w:p>
    <w:p>
      <w:pPr>
        <w:pStyle w:val="ListBullet"/>
      </w:pPr>
      <w:r>
        <w:t xml:space="preserve">服装整体不还原率：全部 </w:t>
      </w:r>
      <w:r>
        <w:rPr>
          <w:b/>
        </w:rPr>
        <w:t>60.6%（303/500）</w:t>
      </w:r>
      <w:r>
        <w:t xml:space="preserve">，显著偏高；“手抱胸”不还原率最低但仍达 </w:t>
      </w:r>
      <w:r>
        <w:rPr>
          <w:b/>
        </w:rPr>
        <w:t>37.5%（3/8）</w:t>
      </w:r>
      <w:r>
        <w:t xml:space="preserve">，主要问题仍在更大样本分组（如手指下垂/手指未露出 </w:t>
      </w:r>
      <w:r>
        <w:rPr>
          <w:b/>
        </w:rPr>
        <w:t>64.79%（138/213）</w:t>
      </w:r>
      <w:r>
        <w:t>）。</w:t>
      </w:r>
    </w:p>
    <w:p>
      <w:pPr>
        <w:pStyle w:val="ListBullet"/>
      </w:pPr>
      <w:r>
        <w:t xml:space="preserve">上装不还原率：全部 </w:t>
      </w:r>
      <w:r>
        <w:rPr>
          <w:b/>
        </w:rPr>
        <w:t>38.8%（194/500）</w:t>
      </w:r>
      <w:r>
        <w:t xml:space="preserve">，其他状态最高 </w:t>
      </w:r>
      <w:r>
        <w:rPr>
          <w:b/>
        </w:rPr>
        <w:t>48.21%（27/56）</w:t>
      </w:r>
      <w:r>
        <w:t xml:space="preserve">，手指下垂/手指未露出 </w:t>
      </w:r>
      <w:r>
        <w:rPr>
          <w:b/>
        </w:rPr>
        <w:t>42.72%（91/213）</w:t>
      </w:r>
      <w:r>
        <w:t>。</w:t>
      </w:r>
    </w:p>
    <w:p>
      <w:pPr>
        <w:pStyle w:val="ListBullet"/>
      </w:pPr>
      <w:r>
        <w:t xml:space="preserve">下装不还原率：全部 </w:t>
      </w:r>
      <w:r>
        <w:rPr>
          <w:b/>
        </w:rPr>
        <w:t>39.0%（195/500）</w:t>
      </w:r>
      <w:r>
        <w:t xml:space="preserve">，手指交叉略高 </w:t>
      </w:r>
      <w:r>
        <w:rPr>
          <w:b/>
        </w:rPr>
        <w:t>44.19%（19/43）</w:t>
      </w:r>
      <w:r>
        <w:t>，整体仍偏严重。</w:t>
      </w:r>
    </w:p>
    <w:p/>
    <w:p>
      <w:pPr>
        <w:pStyle w:val="ListBullet"/>
      </w:pPr>
      <w:r/>
      <w:r>
        <w:rPr>
          <w:b/>
        </w:rPr>
        <w:t>服装穿着效果异常率</w:t>
      </w:r>
      <w:r/>
    </w:p>
    <w:p>
      <w:r>
        <w:t xml:space="preserve">全部仅 </w:t>
      </w:r>
      <w:r>
        <w:rPr>
          <w:b/>
        </w:rPr>
        <w:t>1.8%（9/500）</w:t>
      </w:r>
      <w:r>
        <w:t xml:space="preserve">，整体可控，但“手抱胸”为 </w:t>
      </w:r>
      <w:r>
        <w:rPr>
          <w:b/>
        </w:rPr>
        <w:t>25.0%（2/8）</w:t>
      </w:r>
      <w:r>
        <w:t>，属于小样本高波动风险。</w:t>
      </w:r>
    </w:p>
    <w:p/>
    <w:p>
      <w:pPr>
        <w:pStyle w:val="Heading2"/>
      </w:pPr>
      <w:r>
        <w:rPr>
          <w:sz w:val="32"/>
        </w:rPr>
        <w:t>3. 风险提示（低指标重点）</w:t>
      </w:r>
    </w:p>
    <w:p>
      <w:pPr>
        <w:pStyle w:val="ListNumber"/>
      </w:pPr>
      <w:r/>
      <w:r>
        <w:rPr>
          <w:b/>
        </w:rPr>
        <w:t>通过率偏低（33.0%）</w:t>
      </w:r>
      <w:r>
        <w:t>：整体质量不达预期。</w:t>
      </w:r>
    </w:p>
    <w:p>
      <w:pPr>
        <w:pStyle w:val="ListNumber"/>
      </w:pPr>
      <w:r/>
      <w:r>
        <w:rPr>
          <w:b/>
        </w:rPr>
        <w:t>服装还原类不还原率过高</w:t>
      </w:r>
      <w:r>
        <w:t xml:space="preserve">：服装整体不还原 </w:t>
      </w:r>
      <w:r>
        <w:rPr>
          <w:b/>
        </w:rPr>
        <w:t>60.6%</w:t>
      </w:r>
      <w:r>
        <w:t xml:space="preserve">、上/下装不还原均约 </w:t>
      </w:r>
      <w:r>
        <w:rPr>
          <w:b/>
        </w:rPr>
        <w:t>39%</w:t>
      </w:r>
      <w:r>
        <w:t>。</w:t>
      </w:r>
    </w:p>
    <w:p>
      <w:pPr>
        <w:pStyle w:val="ListNumber"/>
      </w:pPr>
      <w:r/>
      <w:r>
        <w:rPr>
          <w:b/>
        </w:rPr>
        <w:t>“其他状态”生成为空显著偏高</w:t>
      </w:r>
      <w:r>
        <w:t>：</w:t>
      </w:r>
      <w:r>
        <w:rPr>
          <w:b/>
        </w:rPr>
        <w:t>12.5%（7/56）</w:t>
      </w:r>
      <w:r>
        <w:t>。</w:t>
      </w:r>
    </w:p>
    <w:p/>
    <w:p>
      <w:pPr>
        <w:pStyle w:val="Heading2"/>
      </w:pPr>
      <w:r>
        <w:rPr>
          <w:sz w:val="32"/>
        </w:rPr>
        <w:t>4. 问题归因（基于数据推测）</w:t>
      </w:r>
    </w:p>
    <w:p>
      <w:pPr>
        <w:pStyle w:val="ListBullet"/>
      </w:pPr>
      <w:r/>
      <w:r>
        <w:rPr>
          <w:b/>
        </w:rPr>
        <w:t>服装还原不充分</w:t>
      </w:r>
      <w:r>
        <w:t>可能源于标注规则对“遮挡/姿态变化”（如手指下垂或未露出）下的服装边界定义不一致，导致上下装频繁判定为“不还原”。</w:t>
      </w:r>
    </w:p>
    <w:p>
      <w:pPr>
        <w:pStyle w:val="ListBullet"/>
      </w:pPr>
      <w:r/>
      <w:r>
        <w:rPr>
          <w:b/>
        </w:rPr>
        <w:t>“其他状态”生成为空偏高</w:t>
      </w:r>
      <w:r>
        <w:t>可能与该分组样本姿态复杂、关键部位不可见或标注流程中筛选/触发条件不稳定有关。</w:t>
      </w:r>
    </w:p>
    <w:p>
      <w:pPr>
        <w:pStyle w:val="ListBullet"/>
      </w:pPr>
      <w:r/>
      <w:r>
        <w:rPr>
          <w:b/>
        </w:rPr>
        <w:t>异常率整体偏高</w:t>
      </w:r>
      <w:r>
        <w:t>提示存在整体标注策略偏严格或标注员对“合规边界”掌握不足。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/>
      <w:r>
        <w:rPr>
          <w:b/>
        </w:rPr>
        <w:t>制定并固化服装还原判定细则</w:t>
      </w:r>
      <w:r>
        <w:t>：明确上/下装的可见阈值、遮挡处理规则与边界容忍度；对“手指下垂/未露出”“其他状态”增加专项样例审核。</w:t>
      </w:r>
    </w:p>
    <w:p>
      <w:pPr>
        <w:pStyle w:val="ListNumber"/>
      </w:pPr>
      <w:r/>
      <w:r>
        <w:rPr>
          <w:b/>
        </w:rPr>
        <w:t>开展分组定点复核</w:t>
      </w:r>
      <w:r>
        <w:t xml:space="preserve">：优先抽检“其他状态”（通过率 </w:t>
      </w:r>
      <w:r>
        <w:rPr>
          <w:b/>
        </w:rPr>
        <w:t>23.21%</w:t>
      </w:r>
      <w:r>
        <w:t xml:space="preserve">、生成为空 </w:t>
      </w:r>
      <w:r>
        <w:rPr>
          <w:b/>
        </w:rPr>
        <w:t>12.5%</w:t>
      </w:r>
      <w:r>
        <w:t xml:space="preserve">）与“手指下垂/未露出”（通过率 </w:t>
      </w:r>
      <w:r>
        <w:rPr>
          <w:b/>
        </w:rPr>
        <w:t>31.46%</w:t>
      </w:r>
      <w:r>
        <w:t xml:space="preserve">、整体不还原 </w:t>
      </w:r>
      <w:r>
        <w:rPr>
          <w:b/>
        </w:rPr>
        <w:t>64.79%</w:t>
      </w:r>
      <w:r>
        <w:t>）样本，定位反复出错类别。</w:t>
      </w:r>
    </w:p>
    <w:p>
      <w:pPr>
        <w:pStyle w:val="ListNumber"/>
      </w:pPr>
      <w:r/>
      <w:r>
        <w:rPr>
          <w:b/>
        </w:rPr>
        <w:t>优化流程质检门槛</w:t>
      </w:r>
      <w:r>
        <w:t>：对“生成为空”设置触发告警（例如超过阈值即回放前处理/标注触发链路）。</w:t>
      </w:r>
    </w:p>
    <w:p>
      <w:pPr>
        <w:pStyle w:val="ListNumber"/>
      </w:pPr>
      <w:r/>
      <w:r>
        <w:rPr>
          <w:b/>
        </w:rPr>
        <w:t>标注员校准与培训</w:t>
      </w:r>
      <w:r>
        <w:t>：用高频错误样本做对齐练习，重点覆盖“上装/下装不还原”的判定口径，减少主观差异。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