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46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1640"/>
        <w:gridCol w:w="1040"/>
        <w:gridCol w:w="1000"/>
        <w:gridCol w:w="1320"/>
        <w:gridCol w:w="1600"/>
      </w:tblGrid>
      <w:tr w:rsidR="00D113C1">
        <w:trPr>
          <w:trHeight w:val="31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cs="宋体" w:hint="eastAsia"/>
              </w:rPr>
              <w:t>年份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能源生产总量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原煤比重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原油比重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天然气比重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水电、核电、风电比重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1997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132410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0.065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1998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124250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0.071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1999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125934.78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0.0659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128977.88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0.0719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137445.44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0.0823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143809.83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0.0814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163841.53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0.073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187341.15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0.0768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205876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0.077</w:t>
            </w:r>
          </w:p>
        </w:tc>
      </w:tr>
      <w:tr w:rsidR="00D113C1">
        <w:trPr>
          <w:trHeight w:val="31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rPr>
                <w:rFonts w:ascii="宋体"/>
                <w:sz w:val="24"/>
                <w:szCs w:val="24"/>
              </w:rPr>
            </w:pPr>
            <w:r>
              <w:t>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221056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0.7668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0.1194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:rsidR="00D113C1" w:rsidRDefault="00D113C1">
            <w:pPr>
              <w:jc w:val="right"/>
              <w:rPr>
                <w:rFonts w:ascii="宋体"/>
                <w:sz w:val="24"/>
                <w:szCs w:val="24"/>
              </w:rPr>
            </w:pPr>
            <w:r>
              <w:t>0.0786</w:t>
            </w:r>
          </w:p>
        </w:tc>
      </w:tr>
    </w:tbl>
    <w:p w:rsidR="00D113C1" w:rsidRDefault="00D113C1"/>
    <w:sectPr w:rsidR="00D11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2CE"/>
    <w:rsid w:val="00C532CE"/>
    <w:rsid w:val="00D113C1"/>
    <w:rsid w:val="00DB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> </Company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年份</dc:title>
  <dc:subject/>
  <dc:creator> </dc:creator>
  <cp:keywords/>
  <dc:description/>
  <cp:lastModifiedBy>tt</cp:lastModifiedBy>
  <cp:revision>2</cp:revision>
  <dcterms:created xsi:type="dcterms:W3CDTF">2012-10-17T01:15:00Z</dcterms:created>
  <dcterms:modified xsi:type="dcterms:W3CDTF">2012-10-17T01:15:00Z</dcterms:modified>
</cp:coreProperties>
</file>