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62813" w14:textId="77777777" w:rsidR="00D67171" w:rsidRDefault="00000000">
      <w:pPr>
        <w:spacing w:after="120" w:line="240" w:lineRule="auto"/>
      </w:pPr>
      <w:r>
        <w:rPr>
          <w:b/>
          <w:sz w:val="28"/>
        </w:rPr>
        <w:t>LONG Lennar (NYSE: LEN) | 1-YR PT: DATA NEEDED | Analyst Memo | Date: February 14, 2026</w:t>
      </w:r>
    </w:p>
    <w:p w14:paraId="758C38A4" w14:textId="77777777" w:rsidR="00D67171" w:rsidRDefault="00000000">
      <w:pPr>
        <w:spacing w:after="120" w:line="240" w:lineRule="auto"/>
      </w:pPr>
      <w:r>
        <w:rPr>
          <w:b/>
          <w:sz w:val="24"/>
        </w:rPr>
        <w:t>Key Statistics</w:t>
      </w:r>
    </w:p>
    <w:p w14:paraId="1F65E052" w14:textId="77777777" w:rsidR="00D67171" w:rsidRDefault="00000000">
      <w:pPr>
        <w:spacing w:after="120" w:line="240" w:lineRule="auto"/>
      </w:pPr>
      <w:r>
        <w:t>FY2025 revenue: $34.19bn; Homebuilding revenue: $32.27bn (~94% of total).</w:t>
      </w:r>
    </w:p>
    <w:p w14:paraId="225B5D1E" w14:textId="77777777" w:rsidR="00D67171" w:rsidRDefault="00000000">
      <w:pPr>
        <w:spacing w:after="120" w:line="240" w:lineRule="auto"/>
      </w:pPr>
      <w:r>
        <w:t>FY2025 deliveries: 82,583 (+3% YoY); new orders: 83,978 (+9% YoY).</w:t>
      </w:r>
    </w:p>
    <w:p w14:paraId="26100BA3" w14:textId="77777777" w:rsidR="00D67171" w:rsidRDefault="00000000">
      <w:pPr>
        <w:spacing w:after="120" w:line="240" w:lineRule="auto"/>
      </w:pPr>
      <w:r>
        <w:t>FY2025 home sales gross margin: 17.7% (vs 22.3% in FY2024).</w:t>
      </w:r>
    </w:p>
    <w:p w14:paraId="509B277C" w14:textId="77777777" w:rsidR="00D67171" w:rsidRDefault="00000000">
      <w:pPr>
        <w:spacing w:after="120" w:line="240" w:lineRule="auto"/>
      </w:pPr>
      <w:r>
        <w:t>FY2025 adjusted EPS: $8.06 (reported EPS: $7.98).</w:t>
      </w:r>
    </w:p>
    <w:p w14:paraId="6B468D85" w14:textId="77777777" w:rsidR="00D67171" w:rsidRDefault="00000000">
      <w:pPr>
        <w:spacing w:after="120" w:line="240" w:lineRule="auto"/>
      </w:pPr>
      <w:r>
        <w:t>1Q26 guide: deliveries 17,000-18,000; ASP $365k-$375k; gross margin 15%-16%.</w:t>
      </w:r>
    </w:p>
    <w:p w14:paraId="0CB0207B" w14:textId="77777777" w:rsidR="00D67171" w:rsidRDefault="00000000">
      <w:pPr>
        <w:spacing w:after="120" w:line="240" w:lineRule="auto"/>
      </w:pPr>
      <w:r>
        <w:t>Homesite mix (FY2025): 98% controlled / 2% owned; owned years of supply: 0.1 years.</w:t>
      </w:r>
    </w:p>
    <w:p w14:paraId="5BDAB738" w14:textId="77777777" w:rsidR="00D67171" w:rsidRDefault="00000000">
      <w:pPr>
        <w:spacing w:after="120" w:line="240" w:lineRule="auto"/>
      </w:pPr>
      <w:r>
        <w:rPr>
          <w:b/>
          <w:sz w:val="24"/>
        </w:rPr>
        <w:t>Executive Summary</w:t>
      </w:r>
    </w:p>
    <w:p w14:paraId="70B3C372" w14:textId="77777777" w:rsidR="00D67171" w:rsidRDefault="00000000">
      <w:pPr>
        <w:spacing w:after="120" w:line="240" w:lineRule="auto"/>
      </w:pPr>
      <w:r>
        <w:t>Lennar is being priced as a late-cycle margin loser when the underlying franchise continues to compound volume, improve capital velocity, and preserve option value into a potentially lower-rate tape.</w:t>
      </w:r>
    </w:p>
    <w:p w14:paraId="3B5DE007" w14:textId="77777777" w:rsidR="00D67171" w:rsidRDefault="00000000">
      <w:pPr>
        <w:spacing w:after="120" w:line="240" w:lineRule="auto"/>
      </w:pPr>
      <w:r>
        <w:t>Mispricing reason 1: the market is over-extrapolating incentive-driven 2025 margin compression as structural impairment.</w:t>
      </w:r>
    </w:p>
    <w:p w14:paraId="1B6850E0" w14:textId="77777777" w:rsidR="00D67171" w:rsidRDefault="00000000">
      <w:pPr>
        <w:spacing w:after="120" w:line="240" w:lineRule="auto"/>
      </w:pPr>
      <w:r>
        <w:t>Mispricing reason 2: the market is underestimating structural capital-efficiency gains from Lennar's land-light model, which can raise through-cycle ROIC and free-cash conversion.</w:t>
      </w:r>
    </w:p>
    <w:p w14:paraId="0BF35D2C" w14:textId="77777777" w:rsidR="00D67171" w:rsidRDefault="00000000">
      <w:pPr>
        <w:spacing w:after="120" w:line="240" w:lineRule="auto"/>
      </w:pPr>
      <w:r>
        <w:t>Mispricing reason 3: the market is underweighting Lennar's scale advantage in a supply-constrained housing system, where large builders can use affordability tools to capture share.</w:t>
      </w:r>
    </w:p>
    <w:p w14:paraId="124A1284" w14:textId="77777777" w:rsidR="00D67171" w:rsidRDefault="00000000">
      <w:pPr>
        <w:spacing w:after="120" w:line="240" w:lineRule="auto"/>
      </w:pPr>
      <w:r>
        <w:rPr>
          <w:b/>
          <w:sz w:val="24"/>
        </w:rPr>
        <w:t>Company Overview</w:t>
      </w:r>
    </w:p>
    <w:p w14:paraId="3EB507E7" w14:textId="77777777" w:rsidR="00D67171" w:rsidRDefault="00000000">
      <w:pPr>
        <w:spacing w:after="120" w:line="240" w:lineRule="auto"/>
      </w:pPr>
      <w:r>
        <w:t>Lennar is one of the largest U.S. homebuilders. In FY2025, total revenue was $34.19bn, with Homebuilding at $32.27bn, Financial Services at $1.20bn, Multifamily at $0.68bn, and Lennar Other at $0.04bn. The primary earnings drivers are deliveries, ASP, and gross margin, with Financial Services supporting conversion through mortgage and title capabilities.</w:t>
      </w:r>
    </w:p>
    <w:p w14:paraId="41FCFA5D" w14:textId="77777777" w:rsidR="00D67171" w:rsidRDefault="00000000">
      <w:pPr>
        <w:spacing w:after="120" w:line="240" w:lineRule="auto"/>
      </w:pPr>
      <w:r>
        <w:t>Management's current operating posture emphasizes affordability-led volume and a land-light inventory strategy, seeking to maintain production continuity while reducing capital intensity and preserving balance-sheet flexibility.</w:t>
      </w:r>
    </w:p>
    <w:p w14:paraId="211DACA3" w14:textId="77777777" w:rsidR="00D67171" w:rsidRDefault="00000000">
      <w:pPr>
        <w:spacing w:after="120" w:line="240" w:lineRule="auto"/>
      </w:pPr>
      <w:r>
        <w:rPr>
          <w:b/>
          <w:sz w:val="24"/>
        </w:rPr>
        <w:t>Investment Thesis #1: Margin Pressure Is Tactical, Not Structural</w:t>
      </w:r>
    </w:p>
    <w:p w14:paraId="0A749D72" w14:textId="77777777" w:rsidR="00D67171" w:rsidRDefault="00000000">
      <w:pPr>
        <w:spacing w:after="120" w:line="240" w:lineRule="auto"/>
      </w:pPr>
      <w:r>
        <w:t>Quantitatively, home sales gross margin declined from 27.5% (FY2022) to 23.3% (FY2023), 22.3% (FY2024), and 17.7% (FY2025). In parallel, deliveries still rose to 82,583 (+3% YoY) and new orders rose to 83,978 (+9% YoY), while FY2025 ASP fell to $391k (from $423k in FY2024). For 1Q26, management guided to 15%-16% gross margin and $365k-$375k ASP.</w:t>
      </w:r>
    </w:p>
    <w:p w14:paraId="36C8C2AE" w14:textId="77777777" w:rsidR="00D67171" w:rsidRDefault="00000000">
      <w:pPr>
        <w:spacing w:after="120" w:line="240" w:lineRule="auto"/>
      </w:pPr>
      <w:r>
        <w:t>Management stated it maintained roughly 14% incentives/price adjustments while prioritizing volume. The 10-K also links margin pressure to lower revenue per square foot and higher land costs, partly offset by construction cost relief. Causally, Lennar is exchanging near-term price for throughput and share. If affordability pressure eases, incentives can normalize before full ASP recovery, creating operating leverage.</w:t>
      </w:r>
    </w:p>
    <w:p w14:paraId="4EE163C1" w14:textId="77777777" w:rsidR="00D67171" w:rsidRDefault="00000000">
      <w:pPr>
        <w:spacing w:after="120" w:line="240" w:lineRule="auto"/>
      </w:pPr>
      <w:r>
        <w:rPr>
          <w:b/>
          <w:sz w:val="24"/>
        </w:rPr>
        <w:t>Investment Thesis #2: Land-Light Execution Is a Structural Return Upgrade</w:t>
      </w:r>
    </w:p>
    <w:p w14:paraId="37BCB516" w14:textId="77777777" w:rsidR="00D67171" w:rsidRDefault="00000000">
      <w:pPr>
        <w:spacing w:after="120" w:line="240" w:lineRule="auto"/>
      </w:pPr>
      <w:r>
        <w:lastRenderedPageBreak/>
        <w:t>Lennar ended FY2025 with 496,250 controlled homesites and 9,525 owned homesites (98% controlled / 2% owned). Owned years of supply dropped to 0.1 years from 1.1 years. Management also reported inventory turn improving to 2.2x in 4Q25. These metrics indicate a significant shift in capital deployment and inventory risk profile.</w:t>
      </w:r>
    </w:p>
    <w:p w14:paraId="5D7BDBE4" w14:textId="77777777" w:rsidR="00D67171" w:rsidRDefault="00000000">
      <w:pPr>
        <w:spacing w:after="120" w:line="240" w:lineRule="auto"/>
      </w:pPr>
      <w:r>
        <w:t>Management commentary emphasizes that higher turns support affordability with less cash required per unit of volume. In the 10-K, lot control and option structures are central to land strategy. The causal mechanism is straightforward: controlled lots convert fixed land risk into variable access costs, reducing downside carrying risk in weak markets while preserving flexibility in stronger demand periods. Through-cycle, this should improve cash conversion and valuation quality if execution remains consistent.</w:t>
      </w:r>
    </w:p>
    <w:p w14:paraId="73AF9DEE" w14:textId="77777777" w:rsidR="00D67171" w:rsidRDefault="00000000">
      <w:pPr>
        <w:spacing w:after="120" w:line="240" w:lineRule="auto"/>
      </w:pPr>
      <w:r>
        <w:rPr>
          <w:b/>
          <w:sz w:val="24"/>
        </w:rPr>
        <w:t>Investment Thesis #3: Scale and Industry Structure Support Ongoing Share Capture</w:t>
      </w:r>
    </w:p>
    <w:p w14:paraId="334AA714" w14:textId="77777777" w:rsidR="00D67171" w:rsidRDefault="00000000">
      <w:pPr>
        <w:spacing w:after="120" w:line="240" w:lineRule="auto"/>
      </w:pPr>
      <w:r>
        <w:t>Community count increased to 1,708 from 1,447, supporting volume. Backlog units increased to 13,936 from 11,633, while backlog dollar value was $5.24bn versus $5.37bn due to lower price point mix. Financial Services operating earnings increased to $612.5m from $577.2m, supporting integrated conversion economics.</w:t>
      </w:r>
    </w:p>
    <w:p w14:paraId="51F8683B" w14:textId="77777777" w:rsidR="00D67171" w:rsidRDefault="00000000">
      <w:pPr>
        <w:spacing w:after="120" w:line="240" w:lineRule="auto"/>
      </w:pPr>
      <w:r>
        <w:t>Externally, U.S. new-home sales reached 737k SAAR in October 2025 (+18.7% YoY), and months' supply improved to 7.9 from 9.3. Freddie Mac's 30-year rate was 6.09% on Feb 12, 2026 versus 6.87% a year earlier. Management has stated confidence in Lennar's market position and strategy. Causally, in a constrained supply market, scale builders with broad communities plus mortgage/title integration can convert affordability tools into share more efficiently than smaller peers.</w:t>
      </w:r>
    </w:p>
    <w:p w14:paraId="41C38197" w14:textId="77777777" w:rsidR="00D67171" w:rsidRDefault="00000000">
      <w:pPr>
        <w:spacing w:after="120" w:line="240" w:lineRule="auto"/>
      </w:pPr>
      <w:r>
        <w:rPr>
          <w:b/>
          <w:sz w:val="24"/>
        </w:rPr>
        <w:t>Valuation (Normalized Earnings + Sensitivity)</w:t>
      </w:r>
    </w:p>
    <w:p w14:paraId="044F55C0" w14:textId="77777777" w:rsidR="00D67171" w:rsidRDefault="00000000">
      <w:pPr>
        <w:spacing w:after="120" w:line="240" w:lineRule="auto"/>
      </w:pPr>
      <w:r>
        <w:t>FY2025 EPS was $7.98 reported ($8.06 adjusted) versus FY2024 EPS of $14.31 reported ($13.86 adjusted). Given cyclical margin conditions, normalized earnings are a better valuation anchor than trough-quarter optics.</w:t>
      </w:r>
    </w:p>
    <w:p w14:paraId="72995CB2" w14:textId="77777777" w:rsidR="00D67171" w:rsidRDefault="00000000">
      <w:pPr>
        <w:spacing w:after="120" w:line="240" w:lineRule="auto"/>
      </w:pPr>
      <w:r>
        <w:t>Illustrative normalized EPS framework: Bear $8.0, Base $11.0, Bull $13.0. At 8x/10x/12x, implied values are Bear $64/$80/$96, Base $88/$110/$132, Bull $104/$130/$156. DATA NEEDED: current share price for explicit upside/downside. DATA NEEDED: LEN historical forward P/E bands (5Y/10Y) and current peer forward multiples (DHI, PHM, NVR, TOL) for relative context.</w:t>
      </w:r>
    </w:p>
    <w:p w14:paraId="0086107B" w14:textId="77777777" w:rsidR="00D67171" w:rsidRDefault="00000000">
      <w:pPr>
        <w:spacing w:after="120" w:line="240" w:lineRule="auto"/>
      </w:pPr>
      <w:r>
        <w:rPr>
          <w:b/>
          <w:sz w:val="24"/>
        </w:rPr>
        <w:t>Key Risks</w:t>
      </w:r>
    </w:p>
    <w:p w14:paraId="3232DCE2" w14:textId="77777777" w:rsidR="00D67171" w:rsidRDefault="00000000">
      <w:pPr>
        <w:spacing w:after="120" w:line="240" w:lineRule="auto"/>
      </w:pPr>
      <w:r>
        <w:t>1) Affordability remains weak and incentives stay elevated, delaying gross margin normalization and lowering normalized EPS.</w:t>
      </w:r>
    </w:p>
    <w:p w14:paraId="6450854B" w14:textId="77777777" w:rsidR="00D67171" w:rsidRDefault="00000000">
      <w:pPr>
        <w:spacing w:after="120" w:line="240" w:lineRule="auto"/>
      </w:pPr>
      <w:r>
        <w:t>2) Land-light execution risk: higher reliance on optioned lots and counterparties may tighten lot access or increase lot costs under stress.</w:t>
      </w:r>
    </w:p>
    <w:p w14:paraId="0016869F" w14:textId="77777777" w:rsidR="00D67171" w:rsidRDefault="00000000">
      <w:pPr>
        <w:spacing w:after="120" w:line="240" w:lineRule="auto"/>
      </w:pPr>
      <w:r>
        <w:t>3) Input-cost inflation (land, labor, materials) outpaces pricing and productivity improvements, limiting margin recovery.</w:t>
      </w:r>
    </w:p>
    <w:p w14:paraId="7B3740FF" w14:textId="77777777" w:rsidR="00D67171" w:rsidRDefault="00000000">
      <w:pPr>
        <w:spacing w:after="120" w:line="240" w:lineRule="auto"/>
      </w:pPr>
      <w:r>
        <w:t>4) Macro demand shock (employment/confidence) weakens order trends, backlog conversion, and cash generation.</w:t>
      </w:r>
    </w:p>
    <w:p w14:paraId="11C58288" w14:textId="77777777" w:rsidR="00D67171" w:rsidRDefault="00000000">
      <w:pPr>
        <w:spacing w:after="120" w:line="240" w:lineRule="auto"/>
      </w:pPr>
      <w:r>
        <w:t>5) Balance-sheet risk if leverage rises further during weak profitability, potentially compressing valuation multiples.</w:t>
      </w:r>
    </w:p>
    <w:p w14:paraId="612D6150" w14:textId="77777777" w:rsidR="00D67171" w:rsidRDefault="00000000">
      <w:pPr>
        <w:spacing w:after="120" w:line="240" w:lineRule="auto"/>
      </w:pPr>
      <w:r>
        <w:rPr>
          <w:b/>
          <w:sz w:val="24"/>
        </w:rPr>
        <w:t>Sources</w:t>
      </w:r>
    </w:p>
    <w:p w14:paraId="24FB25F6" w14:textId="77777777" w:rsidR="00D67171" w:rsidRDefault="00000000">
      <w:pPr>
        <w:spacing w:after="120" w:line="240" w:lineRule="auto"/>
      </w:pPr>
      <w:r>
        <w:lastRenderedPageBreak/>
        <w:t>Lennar FY2025 10-K: https://www.sec.gov/Archives/edgar/data/920760/000162828026003870/len-20251130.htm</w:t>
      </w:r>
    </w:p>
    <w:p w14:paraId="51EC176C" w14:textId="77777777" w:rsidR="00D67171" w:rsidRDefault="00000000">
      <w:pPr>
        <w:spacing w:after="120" w:line="240" w:lineRule="auto"/>
      </w:pPr>
      <w:r>
        <w:t>Lennar FY2025/Q4 earnings release (Dec 16, 2025): https://investors.lennar.com/press-releases/2025/12-16-2025-213022894</w:t>
      </w:r>
    </w:p>
    <w:p w14:paraId="694B67E4" w14:textId="77777777" w:rsidR="00D67171" w:rsidRDefault="00000000">
      <w:pPr>
        <w:spacing w:after="120" w:line="240" w:lineRule="auto"/>
      </w:pPr>
      <w:r>
        <w:t>Census/HUD New Residential Sales: https://www.census.gov/construction/nrs/current/index.html</w:t>
      </w:r>
    </w:p>
    <w:p w14:paraId="0CDD97FB" w14:textId="77777777" w:rsidR="00D67171" w:rsidRDefault="00000000">
      <w:pPr>
        <w:spacing w:after="120" w:line="240" w:lineRule="auto"/>
      </w:pPr>
      <w:r>
        <w:t>Freddie Mac PMMS: https://www.freddiemac.com/pmms</w:t>
      </w:r>
    </w:p>
    <w:sectPr w:rsidR="00D671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983038">
    <w:abstractNumId w:val="8"/>
  </w:num>
  <w:num w:numId="2" w16cid:durableId="1714840696">
    <w:abstractNumId w:val="6"/>
  </w:num>
  <w:num w:numId="3" w16cid:durableId="2022002793">
    <w:abstractNumId w:val="5"/>
  </w:num>
  <w:num w:numId="4" w16cid:durableId="817771462">
    <w:abstractNumId w:val="4"/>
  </w:num>
  <w:num w:numId="5" w16cid:durableId="28267011">
    <w:abstractNumId w:val="7"/>
  </w:num>
  <w:num w:numId="6" w16cid:durableId="2091389814">
    <w:abstractNumId w:val="3"/>
  </w:num>
  <w:num w:numId="7" w16cid:durableId="1752462795">
    <w:abstractNumId w:val="2"/>
  </w:num>
  <w:num w:numId="8" w16cid:durableId="871916275">
    <w:abstractNumId w:val="1"/>
  </w:num>
  <w:num w:numId="9" w16cid:durableId="198531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B05"/>
    <w:rsid w:val="0015074B"/>
    <w:rsid w:val="0029639D"/>
    <w:rsid w:val="00326F90"/>
    <w:rsid w:val="009C17FE"/>
    <w:rsid w:val="00AA1D8D"/>
    <w:rsid w:val="00AB133E"/>
    <w:rsid w:val="00B47730"/>
    <w:rsid w:val="00CB0664"/>
    <w:rsid w:val="00D671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EEE2D2"/>
  <w14:defaultImageDpi w14:val="300"/>
  <w15:docId w15:val="{21028AFD-D9FA-414C-B6B2-6D44A8FA2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3</Pages>
  <Words>808</Words>
  <Characters>5257</Characters>
  <Application>Microsoft Office Word</Application>
  <DocSecurity>0</DocSecurity>
  <Lines>86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Wang, Xun</cp:lastModifiedBy>
  <cp:revision>2</cp:revision>
  <dcterms:created xsi:type="dcterms:W3CDTF">2013-12-23T23:15:00Z</dcterms:created>
  <dcterms:modified xsi:type="dcterms:W3CDTF">2026-02-14T15:12:00Z</dcterms:modified>
  <cp:category/>
</cp:coreProperties>
</file>