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55DB" w14:textId="77E9F499" w:rsidR="00F65938" w:rsidRDefault="00F65938" w:rsidP="00136CA7">
      <w:pPr>
        <w:jc w:val="both"/>
      </w:pPr>
      <w:r>
        <w:t>Q6</w:t>
      </w:r>
    </w:p>
    <w:p w14:paraId="645912BD" w14:textId="36F7E77B" w:rsidR="007A3EE4" w:rsidRDefault="00F65938" w:rsidP="00136CA7">
      <w:pPr>
        <w:jc w:val="both"/>
      </w:pPr>
      <w:r>
        <w:t>In this part, we test how the seniors who live alone without a family or any effective social relationships perceive their own health. In particular, we compare the perception of own health of older people who live with family with those who live alone. Here, we use “DEM_MARSTRA” to determine the loneliness. The value is equal to 1 means the person lives with family and not feel alone while the value is equal to 2,3,4 means the person lives alone. The other variable is “HLT_GENHELTH”, which means the responders perception of the general health compared to others at the same age. The value is equal to 1 or 3 when the person feels happy and healthy while the value is equal to 4 or 5 when the person feels their health is worse than others. One thing needs to mention is that we do use the variable “ADM_H_MEDSTA=1” to filter the data in order to ensure that only people aged over 65 are studied in this part.</w:t>
      </w:r>
    </w:p>
    <w:p w14:paraId="417C63A9" w14:textId="5C083158" w:rsidR="00F65938" w:rsidRDefault="00F65938" w:rsidP="00136CA7">
      <w:pPr>
        <w:jc w:val="both"/>
      </w:pPr>
    </w:p>
    <w:p w14:paraId="4159ECD6" w14:textId="20C6F27A" w:rsidR="00F65938" w:rsidRDefault="00F65938" w:rsidP="00136CA7">
      <w:pPr>
        <w:jc w:val="both"/>
      </w:pPr>
      <w:r>
        <w:t xml:space="preserve">To examine </w:t>
      </w:r>
      <w:r w:rsidRPr="00F65938">
        <w:t>the significance of the association (contingency) between those</w:t>
      </w:r>
      <w:r>
        <w:t xml:space="preserve"> two </w:t>
      </w:r>
      <w:r w:rsidRPr="00F65938">
        <w:t>classifications</w:t>
      </w:r>
      <w:r>
        <w:t>, we built a contingency table, shown as follows:</w:t>
      </w:r>
    </w:p>
    <w:p w14:paraId="2F822716" w14:textId="7A81E93D" w:rsidR="00F65938" w:rsidRDefault="00F65938" w:rsidP="00136CA7">
      <w:pPr>
        <w:jc w:val="both"/>
      </w:pPr>
    </w:p>
    <w:p w14:paraId="64DDC5B0" w14:textId="251B86FB" w:rsidR="00F65938" w:rsidRPr="00F65938" w:rsidRDefault="00F65938" w:rsidP="00136CA7">
      <w:pPr>
        <w:pStyle w:val="Caption"/>
        <w:jc w:val="center"/>
        <w:rPr>
          <w:color w:val="000000" w:themeColor="text1"/>
        </w:rPr>
      </w:pPr>
      <w:r w:rsidRPr="00F65938">
        <w:rPr>
          <w:color w:val="000000" w:themeColor="text1"/>
        </w:rPr>
        <w:t xml:space="preserve">Table </w:t>
      </w:r>
      <w:r w:rsidRPr="00F65938">
        <w:rPr>
          <w:color w:val="000000" w:themeColor="text1"/>
        </w:rPr>
        <w:fldChar w:fldCharType="begin"/>
      </w:r>
      <w:r w:rsidRPr="00F65938">
        <w:rPr>
          <w:color w:val="000000" w:themeColor="text1"/>
        </w:rPr>
        <w:instrText xml:space="preserve"> SEQ Table \* ARABIC </w:instrText>
      </w:r>
      <w:r w:rsidRPr="00F65938">
        <w:rPr>
          <w:color w:val="000000" w:themeColor="text1"/>
        </w:rPr>
        <w:fldChar w:fldCharType="separate"/>
      </w:r>
      <w:r w:rsidR="00136CA7">
        <w:rPr>
          <w:noProof/>
          <w:color w:val="000000" w:themeColor="text1"/>
        </w:rPr>
        <w:t>1</w:t>
      </w:r>
      <w:r w:rsidRPr="00F65938">
        <w:rPr>
          <w:color w:val="000000" w:themeColor="text1"/>
        </w:rPr>
        <w:fldChar w:fldCharType="end"/>
      </w:r>
      <w:r w:rsidRPr="00F65938">
        <w:rPr>
          <w:color w:val="000000" w:themeColor="text1"/>
        </w:rPr>
        <w:t xml:space="preserve"> Contingency Table of Health and Loneliness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674"/>
        <w:gridCol w:w="2829"/>
        <w:gridCol w:w="2857"/>
      </w:tblGrid>
      <w:tr w:rsidR="00F65938" w14:paraId="27B8922F" w14:textId="77777777" w:rsidTr="00F65938">
        <w:tc>
          <w:tcPr>
            <w:tcW w:w="1963" w:type="pct"/>
            <w:tcBorders>
              <w:top w:val="single" w:sz="12" w:space="0" w:color="auto"/>
              <w:bottom w:val="single" w:sz="8" w:space="0" w:color="auto"/>
            </w:tcBorders>
            <w:vAlign w:val="center"/>
          </w:tcPr>
          <w:p w14:paraId="2B031405" w14:textId="77777777" w:rsidR="00F65938" w:rsidRDefault="00F65938" w:rsidP="00136CA7">
            <w:pPr>
              <w:jc w:val="both"/>
            </w:pPr>
          </w:p>
        </w:tc>
        <w:tc>
          <w:tcPr>
            <w:tcW w:w="1511" w:type="pct"/>
            <w:tcBorders>
              <w:top w:val="single" w:sz="12" w:space="0" w:color="auto"/>
              <w:bottom w:val="single" w:sz="8" w:space="0" w:color="auto"/>
            </w:tcBorders>
            <w:vAlign w:val="center"/>
          </w:tcPr>
          <w:p w14:paraId="3023D26B" w14:textId="30B5EFD2" w:rsidR="00F65938" w:rsidRDefault="00F65938" w:rsidP="00136CA7">
            <w:pPr>
              <w:jc w:val="both"/>
            </w:pPr>
            <w:r w:rsidRPr="00F65938">
              <w:t>With Family</w:t>
            </w:r>
          </w:p>
        </w:tc>
        <w:tc>
          <w:tcPr>
            <w:tcW w:w="1526" w:type="pct"/>
            <w:tcBorders>
              <w:top w:val="single" w:sz="12" w:space="0" w:color="auto"/>
              <w:bottom w:val="single" w:sz="8" w:space="0" w:color="auto"/>
            </w:tcBorders>
            <w:vAlign w:val="center"/>
          </w:tcPr>
          <w:p w14:paraId="694C1B1A" w14:textId="59B01534" w:rsidR="00F65938" w:rsidRDefault="00F65938" w:rsidP="00136CA7">
            <w:pPr>
              <w:jc w:val="both"/>
            </w:pPr>
            <w:r>
              <w:t>L</w:t>
            </w:r>
            <w:r>
              <w:rPr>
                <w:rFonts w:hint="eastAsia"/>
              </w:rPr>
              <w:t>iving</w:t>
            </w:r>
            <w:r>
              <w:t xml:space="preserve"> Alone</w:t>
            </w:r>
          </w:p>
        </w:tc>
      </w:tr>
      <w:tr w:rsidR="00F65938" w14:paraId="6D8E765A" w14:textId="77777777" w:rsidTr="00F65938">
        <w:tc>
          <w:tcPr>
            <w:tcW w:w="1963" w:type="pct"/>
            <w:tcBorders>
              <w:top w:val="single" w:sz="8" w:space="0" w:color="auto"/>
            </w:tcBorders>
            <w:vAlign w:val="center"/>
          </w:tcPr>
          <w:p w14:paraId="6ECCD177" w14:textId="6A521C8F" w:rsidR="00F65938" w:rsidRDefault="00F65938" w:rsidP="00136CA7">
            <w:pPr>
              <w:jc w:val="both"/>
            </w:pPr>
            <w:r>
              <w:t>Poor Fair Health</w:t>
            </w:r>
          </w:p>
        </w:tc>
        <w:tc>
          <w:tcPr>
            <w:tcW w:w="1511" w:type="pct"/>
            <w:tcBorders>
              <w:top w:val="single" w:sz="8" w:space="0" w:color="auto"/>
            </w:tcBorders>
            <w:vAlign w:val="center"/>
          </w:tcPr>
          <w:p w14:paraId="428CAB81" w14:textId="1C10B5EF" w:rsidR="00F65938" w:rsidRDefault="00F65938" w:rsidP="00136CA7">
            <w:pPr>
              <w:jc w:val="both"/>
            </w:pPr>
            <w:r w:rsidRPr="00F65938">
              <w:t>895</w:t>
            </w:r>
          </w:p>
        </w:tc>
        <w:tc>
          <w:tcPr>
            <w:tcW w:w="1526" w:type="pct"/>
            <w:tcBorders>
              <w:top w:val="single" w:sz="8" w:space="0" w:color="auto"/>
            </w:tcBorders>
            <w:vAlign w:val="center"/>
          </w:tcPr>
          <w:p w14:paraId="299C55A5" w14:textId="2BC04072" w:rsidR="00F65938" w:rsidRDefault="00F65938" w:rsidP="00136CA7">
            <w:pPr>
              <w:jc w:val="both"/>
            </w:pPr>
            <w:r w:rsidRPr="00F65938">
              <w:t>1049</w:t>
            </w:r>
          </w:p>
        </w:tc>
      </w:tr>
      <w:tr w:rsidR="00F65938" w14:paraId="1916329F" w14:textId="77777777" w:rsidTr="00F65938">
        <w:tc>
          <w:tcPr>
            <w:tcW w:w="1963" w:type="pct"/>
            <w:tcBorders>
              <w:bottom w:val="single" w:sz="12" w:space="0" w:color="auto"/>
            </w:tcBorders>
            <w:vAlign w:val="center"/>
          </w:tcPr>
          <w:p w14:paraId="0D5F4B9E" w14:textId="2A889EF9" w:rsidR="00F65938" w:rsidRDefault="00F65938" w:rsidP="00136CA7">
            <w:pPr>
              <w:jc w:val="both"/>
            </w:pPr>
            <w:r>
              <w:t>Good Health</w:t>
            </w:r>
          </w:p>
        </w:tc>
        <w:tc>
          <w:tcPr>
            <w:tcW w:w="1511" w:type="pct"/>
            <w:tcBorders>
              <w:bottom w:val="single" w:sz="12" w:space="0" w:color="auto"/>
            </w:tcBorders>
            <w:vAlign w:val="center"/>
          </w:tcPr>
          <w:p w14:paraId="1BE495B0" w14:textId="3AF4029B" w:rsidR="00F65938" w:rsidRDefault="00F65938" w:rsidP="00136CA7">
            <w:pPr>
              <w:jc w:val="both"/>
            </w:pPr>
            <w:r w:rsidRPr="00F65938">
              <w:t>4590</w:t>
            </w:r>
          </w:p>
        </w:tc>
        <w:tc>
          <w:tcPr>
            <w:tcW w:w="1526" w:type="pct"/>
            <w:tcBorders>
              <w:bottom w:val="single" w:sz="12" w:space="0" w:color="auto"/>
            </w:tcBorders>
            <w:vAlign w:val="center"/>
          </w:tcPr>
          <w:p w14:paraId="2B4F37A3" w14:textId="0B0CB52E" w:rsidR="00F65938" w:rsidRDefault="00F65938" w:rsidP="00136CA7">
            <w:pPr>
              <w:jc w:val="both"/>
            </w:pPr>
            <w:r w:rsidRPr="00F65938">
              <w:t>4033</w:t>
            </w:r>
          </w:p>
        </w:tc>
      </w:tr>
    </w:tbl>
    <w:p w14:paraId="4F6A70BE" w14:textId="6D880184" w:rsidR="00F65938" w:rsidRDefault="00F65938" w:rsidP="00136CA7">
      <w:pPr>
        <w:jc w:val="both"/>
      </w:pPr>
    </w:p>
    <w:p w14:paraId="786A285E" w14:textId="3A8C0468" w:rsidR="00F65938" w:rsidRDefault="00F65938" w:rsidP="00136CA7">
      <w:pPr>
        <w:jc w:val="both"/>
      </w:pPr>
      <w:r>
        <w:t xml:space="preserve">Then we conducted the </w:t>
      </w:r>
      <w:r w:rsidRPr="00F65938">
        <w:t>Fisher's exact test</w:t>
      </w:r>
      <w:r>
        <w:t xml:space="preserve"> to demonstrate whether there is association between health and loneliness </w:t>
      </w:r>
      <w:r w:rsidRPr="00F65938">
        <w:t>(</w:t>
      </w:r>
      <w:r>
        <w:t>odds ratio is equal to 1</w:t>
      </w:r>
      <w:r w:rsidRPr="00F65938">
        <w:t>)</w:t>
      </w:r>
      <w:r>
        <w:t xml:space="preserve">. In the result, odds ratio is 0.75 and </w:t>
      </w:r>
      <w:r w:rsidRPr="00F65938">
        <w:t xml:space="preserve">the p-value is significant, and the confidence interval doesn't contain 1. Therefore, </w:t>
      </w:r>
      <w:r>
        <w:t>we</w:t>
      </w:r>
      <w:r w:rsidRPr="00F65938">
        <w:t xml:space="preserve"> reject the null hypothesis</w:t>
      </w:r>
      <w:r>
        <w:t xml:space="preserve"> and conclude that the odds of people with a poor fair health if they are living with family is 0.75 compared to if people with a good health but are living alone</w:t>
      </w:r>
      <w:r w:rsidRPr="00F65938">
        <w:t>.</w:t>
      </w:r>
      <w:r>
        <w:t xml:space="preserve"> We get a p-value that is smaller than 0.05, which means that there is a significant association between loneliness and health.</w:t>
      </w:r>
    </w:p>
    <w:p w14:paraId="2891E5CC" w14:textId="002978B0" w:rsidR="00F65938" w:rsidRDefault="00F65938" w:rsidP="00136CA7">
      <w:pPr>
        <w:jc w:val="both"/>
      </w:pPr>
    </w:p>
    <w:p w14:paraId="5207A68B" w14:textId="5A63EEA9" w:rsidR="00F65938" w:rsidRDefault="00F65938" w:rsidP="00136CA7">
      <w:pPr>
        <w:jc w:val="both"/>
      </w:pPr>
      <w:r>
        <w:t>Q7</w:t>
      </w:r>
    </w:p>
    <w:p w14:paraId="24565258" w14:textId="0C0AF444" w:rsidR="00136CA7" w:rsidRDefault="00F65938" w:rsidP="00136CA7">
      <w:pPr>
        <w:jc w:val="both"/>
      </w:pPr>
      <w:r>
        <w:t xml:space="preserve">This question is an extension of the previous one. In this part, we discuss the relationship between loneliness and risk of depression. We first use the variable “ADM_H_MEDSTA=1” to filter the data in order to ensure that only people aged over 65 are studied in this part. Then we choose another variable to represent depression, which is HLT_OCDEPRSS. </w:t>
      </w:r>
      <w:r w:rsidR="00136CA7">
        <w:t>If the value is equal to 1, it means the person has been diagnosed with depression.</w:t>
      </w:r>
    </w:p>
    <w:p w14:paraId="1B49985E" w14:textId="77777777" w:rsidR="00136CA7" w:rsidRDefault="00136CA7" w:rsidP="00136CA7">
      <w:pPr>
        <w:jc w:val="both"/>
      </w:pPr>
    </w:p>
    <w:p w14:paraId="3F1F96B4" w14:textId="6A5A986C" w:rsidR="00136CA7" w:rsidRDefault="00136CA7" w:rsidP="00136CA7">
      <w:pPr>
        <w:jc w:val="both"/>
      </w:pPr>
      <w:r>
        <w:t>However, we use two methods to define people without depression:</w:t>
      </w:r>
    </w:p>
    <w:p w14:paraId="11A5A3C4" w14:textId="05D3880A" w:rsidR="00F65938" w:rsidRDefault="00136CA7" w:rsidP="00136CA7">
      <w:pPr>
        <w:jc w:val="both"/>
        <w:rPr>
          <w:color w:val="000000" w:themeColor="text1"/>
        </w:rPr>
      </w:pPr>
      <w:r>
        <w:t>Firstly, i</w:t>
      </w:r>
      <w:r w:rsidR="00F65938">
        <w:t xml:space="preserve">f </w:t>
      </w:r>
      <w:r w:rsidRPr="00136CA7">
        <w:rPr>
          <w:b/>
          <w:bCs/>
        </w:rPr>
        <w:t>HLT_OCDEPRSS</w:t>
      </w:r>
      <w:r w:rsidR="00F65938" w:rsidRPr="00136CA7">
        <w:rPr>
          <w:b/>
          <w:bCs/>
        </w:rPr>
        <w:t xml:space="preserve"> is equal to </w:t>
      </w:r>
      <w:r w:rsidRPr="00136CA7">
        <w:rPr>
          <w:b/>
          <w:bCs/>
        </w:rPr>
        <w:t>2</w:t>
      </w:r>
      <w:r w:rsidR="00F65938">
        <w:t xml:space="preserve">, it means </w:t>
      </w:r>
      <w:r>
        <w:t>t</w:t>
      </w:r>
      <w:r w:rsidR="00F65938">
        <w:t xml:space="preserve">he person </w:t>
      </w:r>
      <w:r w:rsidR="00F65938" w:rsidRPr="00F65938">
        <w:rPr>
          <w:color w:val="000000" w:themeColor="text1"/>
        </w:rPr>
        <w:t>has not been diagnosed with depression.  The contingency table is built as follows:</w:t>
      </w:r>
    </w:p>
    <w:p w14:paraId="1F168EAC" w14:textId="77777777" w:rsidR="00136CA7" w:rsidRPr="00136CA7" w:rsidRDefault="00136CA7" w:rsidP="00136CA7">
      <w:pPr>
        <w:jc w:val="both"/>
      </w:pPr>
    </w:p>
    <w:p w14:paraId="47904B21" w14:textId="4277E302" w:rsidR="00F65938" w:rsidRPr="00F65938" w:rsidRDefault="00F65938" w:rsidP="00136CA7">
      <w:pPr>
        <w:pStyle w:val="Caption"/>
        <w:jc w:val="center"/>
        <w:rPr>
          <w:color w:val="000000" w:themeColor="text1"/>
        </w:rPr>
      </w:pPr>
      <w:r w:rsidRPr="00F65938">
        <w:rPr>
          <w:color w:val="000000" w:themeColor="text1"/>
        </w:rPr>
        <w:t xml:space="preserve">Table </w:t>
      </w:r>
      <w:r w:rsidRPr="00F65938">
        <w:rPr>
          <w:color w:val="000000" w:themeColor="text1"/>
        </w:rPr>
        <w:fldChar w:fldCharType="begin"/>
      </w:r>
      <w:r w:rsidRPr="00F65938">
        <w:rPr>
          <w:color w:val="000000" w:themeColor="text1"/>
        </w:rPr>
        <w:instrText xml:space="preserve"> SEQ Table \* ARABIC </w:instrText>
      </w:r>
      <w:r w:rsidRPr="00F65938">
        <w:rPr>
          <w:color w:val="000000" w:themeColor="text1"/>
        </w:rPr>
        <w:fldChar w:fldCharType="separate"/>
      </w:r>
      <w:r w:rsidR="00136CA7">
        <w:rPr>
          <w:noProof/>
          <w:color w:val="000000" w:themeColor="text1"/>
        </w:rPr>
        <w:t>2</w:t>
      </w:r>
      <w:r w:rsidRPr="00F65938">
        <w:rPr>
          <w:color w:val="000000" w:themeColor="text1"/>
        </w:rPr>
        <w:fldChar w:fldCharType="end"/>
      </w:r>
      <w:r w:rsidRPr="00F65938">
        <w:rPr>
          <w:color w:val="000000" w:themeColor="text1"/>
        </w:rPr>
        <w:t xml:space="preserve"> Contingency Table of Depression and Loneliness</w:t>
      </w:r>
      <w:r w:rsidR="00136CA7">
        <w:rPr>
          <w:color w:val="000000" w:themeColor="text1"/>
        </w:rPr>
        <w:t xml:space="preserve"> (Method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674"/>
        <w:gridCol w:w="2829"/>
        <w:gridCol w:w="2857"/>
      </w:tblGrid>
      <w:tr w:rsidR="00F65938" w14:paraId="5331F039" w14:textId="77777777" w:rsidTr="007D0F02">
        <w:tc>
          <w:tcPr>
            <w:tcW w:w="1963" w:type="pct"/>
            <w:tcBorders>
              <w:top w:val="single" w:sz="12" w:space="0" w:color="auto"/>
              <w:bottom w:val="single" w:sz="8" w:space="0" w:color="auto"/>
            </w:tcBorders>
            <w:vAlign w:val="center"/>
          </w:tcPr>
          <w:p w14:paraId="1AE0DCFB" w14:textId="77777777" w:rsidR="00F65938" w:rsidRDefault="00F65938" w:rsidP="00136CA7">
            <w:pPr>
              <w:jc w:val="both"/>
            </w:pPr>
          </w:p>
        </w:tc>
        <w:tc>
          <w:tcPr>
            <w:tcW w:w="1511" w:type="pct"/>
            <w:tcBorders>
              <w:top w:val="single" w:sz="12" w:space="0" w:color="auto"/>
              <w:bottom w:val="single" w:sz="8" w:space="0" w:color="auto"/>
            </w:tcBorders>
            <w:vAlign w:val="center"/>
          </w:tcPr>
          <w:p w14:paraId="3F8A4101" w14:textId="77777777" w:rsidR="00F65938" w:rsidRDefault="00F65938" w:rsidP="00136CA7">
            <w:pPr>
              <w:jc w:val="both"/>
            </w:pPr>
            <w:r w:rsidRPr="00F65938">
              <w:t>With Family</w:t>
            </w:r>
          </w:p>
        </w:tc>
        <w:tc>
          <w:tcPr>
            <w:tcW w:w="1526" w:type="pct"/>
            <w:tcBorders>
              <w:top w:val="single" w:sz="12" w:space="0" w:color="auto"/>
              <w:bottom w:val="single" w:sz="8" w:space="0" w:color="auto"/>
            </w:tcBorders>
            <w:vAlign w:val="center"/>
          </w:tcPr>
          <w:p w14:paraId="35ECA991" w14:textId="77777777" w:rsidR="00F65938" w:rsidRDefault="00F65938" w:rsidP="00136CA7">
            <w:pPr>
              <w:jc w:val="both"/>
            </w:pPr>
            <w:r>
              <w:t>L</w:t>
            </w:r>
            <w:r>
              <w:rPr>
                <w:rFonts w:hint="eastAsia"/>
              </w:rPr>
              <w:t>iving</w:t>
            </w:r>
            <w:r>
              <w:t xml:space="preserve"> Alone</w:t>
            </w:r>
          </w:p>
        </w:tc>
      </w:tr>
      <w:tr w:rsidR="00F65938" w14:paraId="441CCDB5" w14:textId="77777777" w:rsidTr="007D0F02">
        <w:tc>
          <w:tcPr>
            <w:tcW w:w="1963" w:type="pct"/>
            <w:tcBorders>
              <w:top w:val="single" w:sz="8" w:space="0" w:color="auto"/>
            </w:tcBorders>
            <w:vAlign w:val="center"/>
          </w:tcPr>
          <w:p w14:paraId="3DD99EA9" w14:textId="59D8A702" w:rsidR="00F65938" w:rsidRDefault="00F65938" w:rsidP="00136CA7">
            <w:pPr>
              <w:jc w:val="both"/>
            </w:pPr>
            <w:r w:rsidRPr="00F65938">
              <w:t xml:space="preserve">Depression   </w:t>
            </w:r>
          </w:p>
        </w:tc>
        <w:tc>
          <w:tcPr>
            <w:tcW w:w="1511" w:type="pct"/>
            <w:tcBorders>
              <w:top w:val="single" w:sz="8" w:space="0" w:color="auto"/>
            </w:tcBorders>
            <w:vAlign w:val="center"/>
          </w:tcPr>
          <w:p w14:paraId="60A89F12" w14:textId="753FE4FA" w:rsidR="00F65938" w:rsidRDefault="00F65938" w:rsidP="00136CA7">
            <w:pPr>
              <w:jc w:val="both"/>
            </w:pPr>
            <w:r w:rsidRPr="00F65938">
              <w:t xml:space="preserve">992  </w:t>
            </w:r>
          </w:p>
        </w:tc>
        <w:tc>
          <w:tcPr>
            <w:tcW w:w="1526" w:type="pct"/>
            <w:tcBorders>
              <w:top w:val="single" w:sz="8" w:space="0" w:color="auto"/>
            </w:tcBorders>
            <w:vAlign w:val="center"/>
          </w:tcPr>
          <w:p w14:paraId="3FEB6209" w14:textId="3D942DB5" w:rsidR="00F65938" w:rsidRDefault="00F65938" w:rsidP="00136CA7">
            <w:pPr>
              <w:jc w:val="both"/>
            </w:pPr>
            <w:r w:rsidRPr="00F65938">
              <w:t>1255</w:t>
            </w:r>
          </w:p>
        </w:tc>
      </w:tr>
      <w:tr w:rsidR="00F65938" w14:paraId="58E4C182" w14:textId="77777777" w:rsidTr="007D0F02">
        <w:tc>
          <w:tcPr>
            <w:tcW w:w="1963" w:type="pct"/>
            <w:tcBorders>
              <w:bottom w:val="single" w:sz="12" w:space="0" w:color="auto"/>
            </w:tcBorders>
            <w:vAlign w:val="center"/>
          </w:tcPr>
          <w:p w14:paraId="200C7BD0" w14:textId="14241894" w:rsidR="00F65938" w:rsidRDefault="00F65938" w:rsidP="00136CA7">
            <w:pPr>
              <w:jc w:val="both"/>
            </w:pPr>
            <w:r w:rsidRPr="00F65938">
              <w:t xml:space="preserve">Not Depression   </w:t>
            </w:r>
          </w:p>
        </w:tc>
        <w:tc>
          <w:tcPr>
            <w:tcW w:w="1511" w:type="pct"/>
            <w:tcBorders>
              <w:bottom w:val="single" w:sz="12" w:space="0" w:color="auto"/>
            </w:tcBorders>
            <w:vAlign w:val="center"/>
          </w:tcPr>
          <w:p w14:paraId="19F692FC" w14:textId="111AF5C1" w:rsidR="00F65938" w:rsidRDefault="00F65938" w:rsidP="00136CA7">
            <w:pPr>
              <w:jc w:val="both"/>
            </w:pPr>
            <w:r w:rsidRPr="00F65938">
              <w:t>4513</w:t>
            </w:r>
          </w:p>
        </w:tc>
        <w:tc>
          <w:tcPr>
            <w:tcW w:w="1526" w:type="pct"/>
            <w:tcBorders>
              <w:bottom w:val="single" w:sz="12" w:space="0" w:color="auto"/>
            </w:tcBorders>
            <w:vAlign w:val="center"/>
          </w:tcPr>
          <w:p w14:paraId="23719EC5" w14:textId="01292B9A" w:rsidR="00F65938" w:rsidRDefault="00F65938" w:rsidP="00136CA7">
            <w:pPr>
              <w:jc w:val="both"/>
            </w:pPr>
            <w:r w:rsidRPr="00F65938">
              <w:t>3839</w:t>
            </w:r>
          </w:p>
        </w:tc>
      </w:tr>
    </w:tbl>
    <w:p w14:paraId="45F12971" w14:textId="450E4FC4" w:rsidR="00136CA7" w:rsidRDefault="00136CA7" w:rsidP="00136CA7">
      <w:pPr>
        <w:jc w:val="both"/>
        <w:rPr>
          <w:color w:val="000000" w:themeColor="text1"/>
        </w:rPr>
      </w:pPr>
      <w:r>
        <w:lastRenderedPageBreak/>
        <w:t xml:space="preserve">Secondly, if </w:t>
      </w:r>
      <w:r w:rsidRPr="00C80216">
        <w:rPr>
          <w:b/>
          <w:bCs/>
        </w:rPr>
        <w:t xml:space="preserve">HLT_OCDEPRSS is </w:t>
      </w:r>
      <w:r w:rsidRPr="00C80216">
        <w:rPr>
          <w:b/>
          <w:bCs/>
        </w:rPr>
        <w:t xml:space="preserve">not </w:t>
      </w:r>
      <w:r w:rsidRPr="00C80216">
        <w:rPr>
          <w:b/>
          <w:bCs/>
        </w:rPr>
        <w:t xml:space="preserve">equal to </w:t>
      </w:r>
      <w:r w:rsidRPr="00C80216">
        <w:rPr>
          <w:b/>
          <w:bCs/>
        </w:rPr>
        <w:t>1</w:t>
      </w:r>
      <w:r>
        <w:t xml:space="preserve">, it means the person does not officially declare that he has depression. In this case, we labelled all of them as not depression. </w:t>
      </w:r>
      <w:r w:rsidRPr="00F65938">
        <w:rPr>
          <w:color w:val="000000" w:themeColor="text1"/>
        </w:rPr>
        <w:t>The contingency table is built as follows:</w:t>
      </w:r>
    </w:p>
    <w:p w14:paraId="5116FA6D" w14:textId="77777777" w:rsidR="00C80216" w:rsidRDefault="00C80216" w:rsidP="00136CA7">
      <w:pPr>
        <w:jc w:val="both"/>
        <w:rPr>
          <w:color w:val="000000" w:themeColor="text1"/>
        </w:rPr>
      </w:pPr>
    </w:p>
    <w:p w14:paraId="716BC4CC" w14:textId="31130532" w:rsidR="00136CA7" w:rsidRPr="00136CA7" w:rsidRDefault="00136CA7" w:rsidP="00136CA7">
      <w:pPr>
        <w:pStyle w:val="Caption"/>
        <w:jc w:val="center"/>
        <w:rPr>
          <w:color w:val="000000" w:themeColor="text1"/>
        </w:rPr>
      </w:pPr>
      <w:r w:rsidRPr="00136CA7">
        <w:rPr>
          <w:color w:val="000000" w:themeColor="text1"/>
        </w:rPr>
        <w:t xml:space="preserve">Table </w:t>
      </w:r>
      <w:r w:rsidRPr="00136CA7">
        <w:rPr>
          <w:color w:val="000000" w:themeColor="text1"/>
        </w:rPr>
        <w:fldChar w:fldCharType="begin"/>
      </w:r>
      <w:r w:rsidRPr="00136CA7">
        <w:rPr>
          <w:color w:val="000000" w:themeColor="text1"/>
        </w:rPr>
        <w:instrText xml:space="preserve"> SEQ Table \* ARABIC </w:instrText>
      </w:r>
      <w:r w:rsidRPr="00136CA7">
        <w:rPr>
          <w:color w:val="000000" w:themeColor="text1"/>
        </w:rPr>
        <w:fldChar w:fldCharType="separate"/>
      </w:r>
      <w:r w:rsidRPr="00136CA7">
        <w:rPr>
          <w:noProof/>
          <w:color w:val="000000" w:themeColor="text1"/>
        </w:rPr>
        <w:t>3</w:t>
      </w:r>
      <w:r w:rsidRPr="00136CA7">
        <w:rPr>
          <w:color w:val="000000" w:themeColor="text1"/>
        </w:rPr>
        <w:fldChar w:fldCharType="end"/>
      </w:r>
      <w:r w:rsidRPr="00136CA7">
        <w:rPr>
          <w:color w:val="000000" w:themeColor="text1"/>
        </w:rPr>
        <w:t xml:space="preserve"> Contingency Table of Depression and Loneliness (Method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674"/>
        <w:gridCol w:w="2829"/>
        <w:gridCol w:w="2857"/>
      </w:tblGrid>
      <w:tr w:rsidR="00136CA7" w14:paraId="7DB2E366" w14:textId="77777777" w:rsidTr="007D0F02">
        <w:tc>
          <w:tcPr>
            <w:tcW w:w="1963" w:type="pct"/>
            <w:tcBorders>
              <w:top w:val="single" w:sz="12" w:space="0" w:color="auto"/>
              <w:bottom w:val="single" w:sz="8" w:space="0" w:color="auto"/>
            </w:tcBorders>
            <w:vAlign w:val="center"/>
          </w:tcPr>
          <w:p w14:paraId="7715B30F" w14:textId="77777777" w:rsidR="00136CA7" w:rsidRDefault="00136CA7" w:rsidP="007D0F02">
            <w:pPr>
              <w:jc w:val="both"/>
            </w:pPr>
          </w:p>
        </w:tc>
        <w:tc>
          <w:tcPr>
            <w:tcW w:w="1511" w:type="pct"/>
            <w:tcBorders>
              <w:top w:val="single" w:sz="12" w:space="0" w:color="auto"/>
              <w:bottom w:val="single" w:sz="8" w:space="0" w:color="auto"/>
            </w:tcBorders>
            <w:vAlign w:val="center"/>
          </w:tcPr>
          <w:p w14:paraId="1683387E" w14:textId="77777777" w:rsidR="00136CA7" w:rsidRDefault="00136CA7" w:rsidP="007D0F02">
            <w:pPr>
              <w:jc w:val="both"/>
            </w:pPr>
            <w:r w:rsidRPr="00F65938">
              <w:t>With Family</w:t>
            </w:r>
          </w:p>
        </w:tc>
        <w:tc>
          <w:tcPr>
            <w:tcW w:w="1526" w:type="pct"/>
            <w:tcBorders>
              <w:top w:val="single" w:sz="12" w:space="0" w:color="auto"/>
              <w:bottom w:val="single" w:sz="8" w:space="0" w:color="auto"/>
            </w:tcBorders>
            <w:vAlign w:val="center"/>
          </w:tcPr>
          <w:p w14:paraId="431AFEEF" w14:textId="77777777" w:rsidR="00136CA7" w:rsidRDefault="00136CA7" w:rsidP="007D0F02">
            <w:pPr>
              <w:jc w:val="both"/>
            </w:pPr>
            <w:r>
              <w:t>L</w:t>
            </w:r>
            <w:r>
              <w:rPr>
                <w:rFonts w:hint="eastAsia"/>
              </w:rPr>
              <w:t>iving</w:t>
            </w:r>
            <w:r>
              <w:t xml:space="preserve"> Alone</w:t>
            </w:r>
          </w:p>
        </w:tc>
      </w:tr>
      <w:tr w:rsidR="00136CA7" w14:paraId="7190B110" w14:textId="77777777" w:rsidTr="007D0F02">
        <w:tc>
          <w:tcPr>
            <w:tcW w:w="1963" w:type="pct"/>
            <w:tcBorders>
              <w:top w:val="single" w:sz="8" w:space="0" w:color="auto"/>
            </w:tcBorders>
            <w:vAlign w:val="center"/>
          </w:tcPr>
          <w:p w14:paraId="52CAB252" w14:textId="77777777" w:rsidR="00136CA7" w:rsidRDefault="00136CA7" w:rsidP="007D0F02">
            <w:pPr>
              <w:jc w:val="both"/>
            </w:pPr>
            <w:r w:rsidRPr="00F65938">
              <w:t xml:space="preserve">Depression   </w:t>
            </w:r>
          </w:p>
        </w:tc>
        <w:tc>
          <w:tcPr>
            <w:tcW w:w="1511" w:type="pct"/>
            <w:tcBorders>
              <w:top w:val="single" w:sz="8" w:space="0" w:color="auto"/>
            </w:tcBorders>
            <w:vAlign w:val="center"/>
          </w:tcPr>
          <w:p w14:paraId="4527CDC7" w14:textId="77777777" w:rsidR="00136CA7" w:rsidRDefault="00136CA7" w:rsidP="007D0F02">
            <w:pPr>
              <w:jc w:val="both"/>
            </w:pPr>
            <w:r w:rsidRPr="00F65938">
              <w:t xml:space="preserve">992  </w:t>
            </w:r>
          </w:p>
        </w:tc>
        <w:tc>
          <w:tcPr>
            <w:tcW w:w="1526" w:type="pct"/>
            <w:tcBorders>
              <w:top w:val="single" w:sz="8" w:space="0" w:color="auto"/>
            </w:tcBorders>
            <w:vAlign w:val="center"/>
          </w:tcPr>
          <w:p w14:paraId="230E2AE7" w14:textId="77777777" w:rsidR="00136CA7" w:rsidRDefault="00136CA7" w:rsidP="007D0F02">
            <w:pPr>
              <w:jc w:val="both"/>
            </w:pPr>
            <w:r w:rsidRPr="00F65938">
              <w:t>1255</w:t>
            </w:r>
          </w:p>
        </w:tc>
      </w:tr>
      <w:tr w:rsidR="00136CA7" w14:paraId="3724410F" w14:textId="77777777" w:rsidTr="007D0F02">
        <w:tc>
          <w:tcPr>
            <w:tcW w:w="1963" w:type="pct"/>
            <w:tcBorders>
              <w:bottom w:val="single" w:sz="12" w:space="0" w:color="auto"/>
            </w:tcBorders>
            <w:vAlign w:val="center"/>
          </w:tcPr>
          <w:p w14:paraId="56E5A826" w14:textId="77777777" w:rsidR="00136CA7" w:rsidRDefault="00136CA7" w:rsidP="007D0F02">
            <w:pPr>
              <w:jc w:val="both"/>
            </w:pPr>
            <w:r w:rsidRPr="00F65938">
              <w:t xml:space="preserve">Not Depression   </w:t>
            </w:r>
          </w:p>
        </w:tc>
        <w:tc>
          <w:tcPr>
            <w:tcW w:w="1511" w:type="pct"/>
            <w:tcBorders>
              <w:bottom w:val="single" w:sz="12" w:space="0" w:color="auto"/>
            </w:tcBorders>
            <w:vAlign w:val="center"/>
          </w:tcPr>
          <w:p w14:paraId="4370A507" w14:textId="5AB9220F" w:rsidR="00136CA7" w:rsidRDefault="00136CA7" w:rsidP="007D0F02">
            <w:pPr>
              <w:jc w:val="both"/>
            </w:pPr>
            <w:r w:rsidRPr="00136CA7">
              <w:t>4518</w:t>
            </w:r>
          </w:p>
        </w:tc>
        <w:tc>
          <w:tcPr>
            <w:tcW w:w="1526" w:type="pct"/>
            <w:tcBorders>
              <w:bottom w:val="single" w:sz="12" w:space="0" w:color="auto"/>
            </w:tcBorders>
            <w:vAlign w:val="center"/>
          </w:tcPr>
          <w:p w14:paraId="5377D49C" w14:textId="1BED5B3F" w:rsidR="00136CA7" w:rsidRDefault="00136CA7" w:rsidP="007D0F02">
            <w:pPr>
              <w:jc w:val="both"/>
            </w:pPr>
            <w:r w:rsidRPr="00136CA7">
              <w:t>3854</w:t>
            </w:r>
          </w:p>
        </w:tc>
      </w:tr>
    </w:tbl>
    <w:p w14:paraId="0D15C1BB" w14:textId="77777777" w:rsidR="00136CA7" w:rsidRDefault="00136CA7" w:rsidP="00136CA7">
      <w:pPr>
        <w:jc w:val="both"/>
        <w:rPr>
          <w:color w:val="000000" w:themeColor="text1"/>
        </w:rPr>
      </w:pPr>
    </w:p>
    <w:p w14:paraId="614061A1" w14:textId="229E112F" w:rsidR="00C80216" w:rsidRDefault="00C80216" w:rsidP="00C80216">
      <w:pPr>
        <w:jc w:val="both"/>
      </w:pPr>
      <w:r>
        <w:t xml:space="preserve">We conducted the </w:t>
      </w:r>
      <w:r w:rsidRPr="00F65938">
        <w:t>Fisher's exact test</w:t>
      </w:r>
      <w:r>
        <w:t xml:space="preserve"> </w:t>
      </w:r>
      <w:r>
        <w:t xml:space="preserve">for each of the situation </w:t>
      </w:r>
      <w:r>
        <w:t xml:space="preserve">to demonstrate whether there is association between depression and loneliness </w:t>
      </w:r>
      <w:r w:rsidRPr="00F65938">
        <w:t>(</w:t>
      </w:r>
      <w:r>
        <w:t>odds ratio is equal to 1</w:t>
      </w:r>
      <w:r w:rsidRPr="00F65938">
        <w:t>)</w:t>
      </w:r>
      <w:r>
        <w:t xml:space="preserve">. </w:t>
      </w:r>
      <w:r w:rsidR="00E72998">
        <w:t>As a</w:t>
      </w:r>
      <w:r>
        <w:t xml:space="preserve"> result, odds ratio is </w:t>
      </w:r>
      <w:r>
        <w:t xml:space="preserve">all equal to </w:t>
      </w:r>
      <w:r>
        <w:t>0.67</w:t>
      </w:r>
      <w:r w:rsidRPr="00F65938">
        <w:t xml:space="preserve">. Therefore, </w:t>
      </w:r>
      <w:r>
        <w:t>we</w:t>
      </w:r>
      <w:r w:rsidRPr="00F65938">
        <w:t xml:space="preserve"> reject the null hypothesis</w:t>
      </w:r>
      <w:r>
        <w:t xml:space="preserve"> and conclude that the odds of people with depression if they are living with family is 0.67 compared to the people without depression but are living alone</w:t>
      </w:r>
      <w:r w:rsidRPr="00F65938">
        <w:t>.</w:t>
      </w:r>
      <w:r>
        <w:t xml:space="preserve"> We get a p-value that is smaller than 0.05</w:t>
      </w:r>
      <w:r w:rsidR="00E72998">
        <w:t xml:space="preserve"> and </w:t>
      </w:r>
      <w:r w:rsidR="00E72998" w:rsidRPr="00F65938">
        <w:t>the confidence interval doesn't contain 1</w:t>
      </w:r>
      <w:r>
        <w:t>, which mean</w:t>
      </w:r>
      <w:r w:rsidR="00E72998">
        <w:t xml:space="preserve"> </w:t>
      </w:r>
      <w:r>
        <w:t>that there is a significant association between loneliness and depression.</w:t>
      </w:r>
    </w:p>
    <w:p w14:paraId="29265457" w14:textId="050C5A4F" w:rsidR="00136CA7" w:rsidRPr="00136CA7" w:rsidRDefault="00136CA7" w:rsidP="00136CA7">
      <w:pPr>
        <w:jc w:val="both"/>
        <w:rPr>
          <w:b/>
          <w:bCs/>
        </w:rPr>
      </w:pPr>
    </w:p>
    <w:p w14:paraId="46C7A242" w14:textId="3F6C2850" w:rsidR="00F65938" w:rsidRDefault="00F65938" w:rsidP="00136CA7">
      <w:pPr>
        <w:jc w:val="both"/>
      </w:pPr>
    </w:p>
    <w:p w14:paraId="33535802" w14:textId="77777777" w:rsidR="00136CA7" w:rsidRPr="00F65938" w:rsidRDefault="00136CA7" w:rsidP="00136CA7">
      <w:pPr>
        <w:jc w:val="both"/>
      </w:pPr>
      <w:bookmarkStart w:id="0" w:name="_GoBack"/>
      <w:bookmarkEnd w:id="0"/>
    </w:p>
    <w:sectPr w:rsidR="00136CA7" w:rsidRPr="00F65938" w:rsidSect="005F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E4"/>
    <w:rsid w:val="00136CA7"/>
    <w:rsid w:val="005F4C00"/>
    <w:rsid w:val="007A3EE4"/>
    <w:rsid w:val="00C80216"/>
    <w:rsid w:val="00E72998"/>
    <w:rsid w:val="00F6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2B80BF"/>
  <w15:chartTrackingRefBased/>
  <w15:docId w15:val="{72EA13DF-74DB-824F-97FB-FC1B10C0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5938"/>
    <w:rPr>
      <w:rFonts w:ascii="Courier New" w:eastAsia="Times New Roman" w:hAnsi="Courier New" w:cs="Courier New"/>
      <w:sz w:val="20"/>
      <w:szCs w:val="20"/>
    </w:rPr>
  </w:style>
  <w:style w:type="paragraph" w:styleId="Caption">
    <w:name w:val="caption"/>
    <w:basedOn w:val="Normal"/>
    <w:next w:val="Normal"/>
    <w:uiPriority w:val="35"/>
    <w:unhideWhenUsed/>
    <w:qFormat/>
    <w:rsid w:val="00F6593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4468">
      <w:bodyDiv w:val="1"/>
      <w:marLeft w:val="0"/>
      <w:marRight w:val="0"/>
      <w:marTop w:val="0"/>
      <w:marBottom w:val="0"/>
      <w:divBdr>
        <w:top w:val="none" w:sz="0" w:space="0" w:color="auto"/>
        <w:left w:val="none" w:sz="0" w:space="0" w:color="auto"/>
        <w:bottom w:val="none" w:sz="0" w:space="0" w:color="auto"/>
        <w:right w:val="none" w:sz="0" w:space="0" w:color="auto"/>
      </w:divBdr>
    </w:div>
    <w:div w:id="81806205">
      <w:bodyDiv w:val="1"/>
      <w:marLeft w:val="0"/>
      <w:marRight w:val="0"/>
      <w:marTop w:val="0"/>
      <w:marBottom w:val="0"/>
      <w:divBdr>
        <w:top w:val="none" w:sz="0" w:space="0" w:color="auto"/>
        <w:left w:val="none" w:sz="0" w:space="0" w:color="auto"/>
        <w:bottom w:val="none" w:sz="0" w:space="0" w:color="auto"/>
        <w:right w:val="none" w:sz="0" w:space="0" w:color="auto"/>
      </w:divBdr>
    </w:div>
    <w:div w:id="236523513">
      <w:bodyDiv w:val="1"/>
      <w:marLeft w:val="0"/>
      <w:marRight w:val="0"/>
      <w:marTop w:val="0"/>
      <w:marBottom w:val="0"/>
      <w:divBdr>
        <w:top w:val="none" w:sz="0" w:space="0" w:color="auto"/>
        <w:left w:val="none" w:sz="0" w:space="0" w:color="auto"/>
        <w:bottom w:val="none" w:sz="0" w:space="0" w:color="auto"/>
        <w:right w:val="none" w:sz="0" w:space="0" w:color="auto"/>
      </w:divBdr>
    </w:div>
    <w:div w:id="280848380">
      <w:bodyDiv w:val="1"/>
      <w:marLeft w:val="0"/>
      <w:marRight w:val="0"/>
      <w:marTop w:val="0"/>
      <w:marBottom w:val="0"/>
      <w:divBdr>
        <w:top w:val="none" w:sz="0" w:space="0" w:color="auto"/>
        <w:left w:val="none" w:sz="0" w:space="0" w:color="auto"/>
        <w:bottom w:val="none" w:sz="0" w:space="0" w:color="auto"/>
        <w:right w:val="none" w:sz="0" w:space="0" w:color="auto"/>
      </w:divBdr>
    </w:div>
    <w:div w:id="805011028">
      <w:bodyDiv w:val="1"/>
      <w:marLeft w:val="0"/>
      <w:marRight w:val="0"/>
      <w:marTop w:val="0"/>
      <w:marBottom w:val="0"/>
      <w:divBdr>
        <w:top w:val="none" w:sz="0" w:space="0" w:color="auto"/>
        <w:left w:val="none" w:sz="0" w:space="0" w:color="auto"/>
        <w:bottom w:val="none" w:sz="0" w:space="0" w:color="auto"/>
        <w:right w:val="none" w:sz="0" w:space="0" w:color="auto"/>
      </w:divBdr>
    </w:div>
    <w:div w:id="868418819">
      <w:bodyDiv w:val="1"/>
      <w:marLeft w:val="0"/>
      <w:marRight w:val="0"/>
      <w:marTop w:val="0"/>
      <w:marBottom w:val="0"/>
      <w:divBdr>
        <w:top w:val="none" w:sz="0" w:space="0" w:color="auto"/>
        <w:left w:val="none" w:sz="0" w:space="0" w:color="auto"/>
        <w:bottom w:val="none" w:sz="0" w:space="0" w:color="auto"/>
        <w:right w:val="none" w:sz="0" w:space="0" w:color="auto"/>
      </w:divBdr>
    </w:div>
    <w:div w:id="907347675">
      <w:bodyDiv w:val="1"/>
      <w:marLeft w:val="0"/>
      <w:marRight w:val="0"/>
      <w:marTop w:val="0"/>
      <w:marBottom w:val="0"/>
      <w:divBdr>
        <w:top w:val="none" w:sz="0" w:space="0" w:color="auto"/>
        <w:left w:val="none" w:sz="0" w:space="0" w:color="auto"/>
        <w:bottom w:val="none" w:sz="0" w:space="0" w:color="auto"/>
        <w:right w:val="none" w:sz="0" w:space="0" w:color="auto"/>
      </w:divBdr>
    </w:div>
    <w:div w:id="960576815">
      <w:bodyDiv w:val="1"/>
      <w:marLeft w:val="0"/>
      <w:marRight w:val="0"/>
      <w:marTop w:val="0"/>
      <w:marBottom w:val="0"/>
      <w:divBdr>
        <w:top w:val="none" w:sz="0" w:space="0" w:color="auto"/>
        <w:left w:val="none" w:sz="0" w:space="0" w:color="auto"/>
        <w:bottom w:val="none" w:sz="0" w:space="0" w:color="auto"/>
        <w:right w:val="none" w:sz="0" w:space="0" w:color="auto"/>
      </w:divBdr>
    </w:div>
    <w:div w:id="1168709522">
      <w:bodyDiv w:val="1"/>
      <w:marLeft w:val="0"/>
      <w:marRight w:val="0"/>
      <w:marTop w:val="0"/>
      <w:marBottom w:val="0"/>
      <w:divBdr>
        <w:top w:val="none" w:sz="0" w:space="0" w:color="auto"/>
        <w:left w:val="none" w:sz="0" w:space="0" w:color="auto"/>
        <w:bottom w:val="none" w:sz="0" w:space="0" w:color="auto"/>
        <w:right w:val="none" w:sz="0" w:space="0" w:color="auto"/>
      </w:divBdr>
    </w:div>
    <w:div w:id="1204754114">
      <w:bodyDiv w:val="1"/>
      <w:marLeft w:val="0"/>
      <w:marRight w:val="0"/>
      <w:marTop w:val="0"/>
      <w:marBottom w:val="0"/>
      <w:divBdr>
        <w:top w:val="none" w:sz="0" w:space="0" w:color="auto"/>
        <w:left w:val="none" w:sz="0" w:space="0" w:color="auto"/>
        <w:bottom w:val="none" w:sz="0" w:space="0" w:color="auto"/>
        <w:right w:val="none" w:sz="0" w:space="0" w:color="auto"/>
      </w:divBdr>
    </w:div>
    <w:div w:id="1265041434">
      <w:bodyDiv w:val="1"/>
      <w:marLeft w:val="0"/>
      <w:marRight w:val="0"/>
      <w:marTop w:val="0"/>
      <w:marBottom w:val="0"/>
      <w:divBdr>
        <w:top w:val="none" w:sz="0" w:space="0" w:color="auto"/>
        <w:left w:val="none" w:sz="0" w:space="0" w:color="auto"/>
        <w:bottom w:val="none" w:sz="0" w:space="0" w:color="auto"/>
        <w:right w:val="none" w:sz="0" w:space="0" w:color="auto"/>
      </w:divBdr>
    </w:div>
    <w:div w:id="1282035937">
      <w:bodyDiv w:val="1"/>
      <w:marLeft w:val="0"/>
      <w:marRight w:val="0"/>
      <w:marTop w:val="0"/>
      <w:marBottom w:val="0"/>
      <w:divBdr>
        <w:top w:val="none" w:sz="0" w:space="0" w:color="auto"/>
        <w:left w:val="none" w:sz="0" w:space="0" w:color="auto"/>
        <w:bottom w:val="none" w:sz="0" w:space="0" w:color="auto"/>
        <w:right w:val="none" w:sz="0" w:space="0" w:color="auto"/>
      </w:divBdr>
    </w:div>
    <w:div w:id="1370954109">
      <w:bodyDiv w:val="1"/>
      <w:marLeft w:val="0"/>
      <w:marRight w:val="0"/>
      <w:marTop w:val="0"/>
      <w:marBottom w:val="0"/>
      <w:divBdr>
        <w:top w:val="none" w:sz="0" w:space="0" w:color="auto"/>
        <w:left w:val="none" w:sz="0" w:space="0" w:color="auto"/>
        <w:bottom w:val="none" w:sz="0" w:space="0" w:color="auto"/>
        <w:right w:val="none" w:sz="0" w:space="0" w:color="auto"/>
      </w:divBdr>
    </w:div>
    <w:div w:id="1492210810">
      <w:bodyDiv w:val="1"/>
      <w:marLeft w:val="0"/>
      <w:marRight w:val="0"/>
      <w:marTop w:val="0"/>
      <w:marBottom w:val="0"/>
      <w:divBdr>
        <w:top w:val="none" w:sz="0" w:space="0" w:color="auto"/>
        <w:left w:val="none" w:sz="0" w:space="0" w:color="auto"/>
        <w:bottom w:val="none" w:sz="0" w:space="0" w:color="auto"/>
        <w:right w:val="none" w:sz="0" w:space="0" w:color="auto"/>
      </w:divBdr>
    </w:div>
    <w:div w:id="1514566870">
      <w:bodyDiv w:val="1"/>
      <w:marLeft w:val="0"/>
      <w:marRight w:val="0"/>
      <w:marTop w:val="0"/>
      <w:marBottom w:val="0"/>
      <w:divBdr>
        <w:top w:val="none" w:sz="0" w:space="0" w:color="auto"/>
        <w:left w:val="none" w:sz="0" w:space="0" w:color="auto"/>
        <w:bottom w:val="none" w:sz="0" w:space="0" w:color="auto"/>
        <w:right w:val="none" w:sz="0" w:space="0" w:color="auto"/>
      </w:divBdr>
    </w:div>
    <w:div w:id="1907063263">
      <w:bodyDiv w:val="1"/>
      <w:marLeft w:val="0"/>
      <w:marRight w:val="0"/>
      <w:marTop w:val="0"/>
      <w:marBottom w:val="0"/>
      <w:divBdr>
        <w:top w:val="none" w:sz="0" w:space="0" w:color="auto"/>
        <w:left w:val="none" w:sz="0" w:space="0" w:color="auto"/>
        <w:bottom w:val="none" w:sz="0" w:space="0" w:color="auto"/>
        <w:right w:val="none" w:sz="0" w:space="0" w:color="auto"/>
      </w:divBdr>
    </w:div>
    <w:div w:id="1969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2CAB6-5E79-5445-A67C-63171AC0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nx6272</dc:creator>
  <cp:keywords/>
  <dc:description/>
  <cp:lastModifiedBy>nx6272</cp:lastModifiedBy>
  <cp:revision>11</cp:revision>
  <dcterms:created xsi:type="dcterms:W3CDTF">2020-03-27T17:55:00Z</dcterms:created>
  <dcterms:modified xsi:type="dcterms:W3CDTF">2020-03-27T23:18:00Z</dcterms:modified>
</cp:coreProperties>
</file>