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50CD1" w14:textId="65EA7D78" w:rsidR="00CF39D8" w:rsidRPr="00CF39D8" w:rsidRDefault="00CF39D8" w:rsidP="00276672">
      <w:pPr>
        <w:jc w:val="both"/>
        <w:rPr>
          <w:b/>
          <w:bCs/>
          <w:sz w:val="32"/>
          <w:szCs w:val="32"/>
        </w:rPr>
      </w:pPr>
      <w:r w:rsidRPr="00CF39D8">
        <w:rPr>
          <w:b/>
          <w:bCs/>
          <w:sz w:val="32"/>
          <w:szCs w:val="32"/>
        </w:rPr>
        <w:t xml:space="preserve">Industry Analysis </w:t>
      </w:r>
    </w:p>
    <w:p w14:paraId="6A3A6D89" w14:textId="77777777" w:rsidR="00CF39D8" w:rsidRDefault="00CF39D8" w:rsidP="00276672">
      <w:pPr>
        <w:jc w:val="both"/>
      </w:pPr>
    </w:p>
    <w:p w14:paraId="75B255DC" w14:textId="5F696AFE" w:rsidR="000C233A" w:rsidRDefault="000C233A" w:rsidP="00FF0292">
      <w:pPr>
        <w:spacing w:line="276" w:lineRule="auto"/>
        <w:jc w:val="both"/>
      </w:pPr>
      <w:r>
        <w:t xml:space="preserve">After calculating HHI index based on records and charges, we find out that the HHI rankings are the same while RR1 has the largest HHI among 5 RRs. Therefore, </w:t>
      </w:r>
      <w:r w:rsidR="00276672">
        <w:t xml:space="preserve">there is monopoly phenomenon and </w:t>
      </w:r>
      <w:r>
        <w:t>RR1 is the lion player in those 5 areas.</w:t>
      </w:r>
    </w:p>
    <w:p w14:paraId="6BF68BDC" w14:textId="77777777" w:rsidR="000C233A" w:rsidRDefault="000C233A" w:rsidP="000C233A"/>
    <w:p w14:paraId="57A0048B" w14:textId="60E26AA8" w:rsidR="003C7C7F" w:rsidRDefault="003C7C7F" w:rsidP="003C7C7F">
      <w:pPr>
        <w:pStyle w:val="Caption"/>
        <w:keepNext/>
        <w:jc w:val="center"/>
      </w:pPr>
      <w:r>
        <w:t xml:space="preserve">Table </w:t>
      </w:r>
      <w:r>
        <w:fldChar w:fldCharType="begin"/>
      </w:r>
      <w:r>
        <w:instrText xml:space="preserve"> SEQ Table \* ARABIC </w:instrText>
      </w:r>
      <w:r>
        <w:fldChar w:fldCharType="separate"/>
      </w:r>
      <w:r w:rsidR="00276672">
        <w:rPr>
          <w:noProof/>
        </w:rPr>
        <w:t>1</w:t>
      </w:r>
      <w:r>
        <w:fldChar w:fldCharType="end"/>
      </w:r>
      <w:r>
        <w:t xml:space="preserve"> HHI index based on records</w:t>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6116"/>
      </w:tblGrid>
      <w:tr w:rsidR="003C7C7F" w14:paraId="6DAE6281" w14:textId="77777777" w:rsidTr="00DA50A5">
        <w:trPr>
          <w:jc w:val="center"/>
        </w:trPr>
        <w:tc>
          <w:tcPr>
            <w:tcW w:w="1733" w:type="pct"/>
            <w:tcBorders>
              <w:top w:val="single" w:sz="4" w:space="0" w:color="auto"/>
              <w:bottom w:val="single" w:sz="4" w:space="0" w:color="auto"/>
            </w:tcBorders>
            <w:vAlign w:val="center"/>
          </w:tcPr>
          <w:p w14:paraId="4322958E" w14:textId="02D5D6A5" w:rsidR="003C7C7F" w:rsidRPr="003C7C7F" w:rsidRDefault="003C7C7F" w:rsidP="003C7C7F">
            <w:pPr>
              <w:jc w:val="center"/>
              <w:rPr>
                <w:b/>
                <w:bCs/>
              </w:rPr>
            </w:pPr>
            <w:r w:rsidRPr="003C7C7F">
              <w:rPr>
                <w:b/>
                <w:bCs/>
              </w:rPr>
              <w:t>RR</w:t>
            </w:r>
          </w:p>
        </w:tc>
        <w:tc>
          <w:tcPr>
            <w:tcW w:w="3267" w:type="pct"/>
            <w:tcBorders>
              <w:top w:val="single" w:sz="4" w:space="0" w:color="auto"/>
              <w:bottom w:val="single" w:sz="4" w:space="0" w:color="auto"/>
            </w:tcBorders>
            <w:vAlign w:val="center"/>
          </w:tcPr>
          <w:p w14:paraId="20D02F2C" w14:textId="65D6925A" w:rsidR="003C7C7F" w:rsidRPr="003C7C7F" w:rsidRDefault="003C7C7F" w:rsidP="003C7C7F">
            <w:pPr>
              <w:jc w:val="center"/>
              <w:rPr>
                <w:b/>
                <w:bCs/>
              </w:rPr>
            </w:pPr>
            <w:r w:rsidRPr="003C7C7F">
              <w:rPr>
                <w:b/>
                <w:bCs/>
              </w:rPr>
              <w:t>HHI</w:t>
            </w:r>
          </w:p>
        </w:tc>
      </w:tr>
      <w:tr w:rsidR="00DA50A5" w14:paraId="49BC2EDB" w14:textId="77777777" w:rsidTr="000C233A">
        <w:trPr>
          <w:jc w:val="center"/>
        </w:trPr>
        <w:tc>
          <w:tcPr>
            <w:tcW w:w="1733" w:type="pct"/>
            <w:tcBorders>
              <w:top w:val="single" w:sz="4" w:space="0" w:color="auto"/>
            </w:tcBorders>
            <w:shd w:val="clear" w:color="auto" w:fill="A5A5A5" w:themeFill="accent3"/>
            <w:vAlign w:val="bottom"/>
          </w:tcPr>
          <w:p w14:paraId="5605DF8E" w14:textId="39A5E1FC" w:rsidR="00DA50A5" w:rsidRPr="000C233A" w:rsidRDefault="00DA50A5" w:rsidP="00DA50A5">
            <w:pPr>
              <w:jc w:val="center"/>
              <w:rPr>
                <w:rFonts w:ascii="Calibri" w:hAnsi="Calibri"/>
                <w:color w:val="000000"/>
                <w:sz w:val="22"/>
                <w:szCs w:val="22"/>
              </w:rPr>
            </w:pPr>
            <w:r>
              <w:rPr>
                <w:rFonts w:ascii="Calibri" w:hAnsi="Calibri"/>
                <w:color w:val="000000"/>
                <w:sz w:val="22"/>
                <w:szCs w:val="22"/>
              </w:rPr>
              <w:t>RR1</w:t>
            </w:r>
          </w:p>
        </w:tc>
        <w:tc>
          <w:tcPr>
            <w:tcW w:w="3267" w:type="pct"/>
            <w:tcBorders>
              <w:top w:val="single" w:sz="4" w:space="0" w:color="auto"/>
            </w:tcBorders>
            <w:shd w:val="clear" w:color="auto" w:fill="A5A5A5" w:themeFill="accent3"/>
            <w:vAlign w:val="bottom"/>
          </w:tcPr>
          <w:p w14:paraId="3A5E2B9E" w14:textId="16FCA99A" w:rsidR="00DA50A5" w:rsidRPr="000C233A" w:rsidRDefault="00DA50A5" w:rsidP="00DA50A5">
            <w:pPr>
              <w:jc w:val="center"/>
              <w:rPr>
                <w:rFonts w:ascii="Calibri" w:hAnsi="Calibri"/>
                <w:color w:val="000000"/>
                <w:sz w:val="22"/>
                <w:szCs w:val="22"/>
              </w:rPr>
            </w:pPr>
            <w:r>
              <w:rPr>
                <w:rFonts w:ascii="Calibri" w:hAnsi="Calibri"/>
                <w:color w:val="000000"/>
                <w:sz w:val="22"/>
                <w:szCs w:val="22"/>
              </w:rPr>
              <w:t>6584.52</w:t>
            </w:r>
          </w:p>
        </w:tc>
      </w:tr>
      <w:tr w:rsidR="00DA50A5" w14:paraId="2048AA1D" w14:textId="77777777" w:rsidTr="003B7277">
        <w:trPr>
          <w:jc w:val="center"/>
        </w:trPr>
        <w:tc>
          <w:tcPr>
            <w:tcW w:w="1733" w:type="pct"/>
            <w:vAlign w:val="bottom"/>
          </w:tcPr>
          <w:p w14:paraId="535E54F5" w14:textId="7594DCD5" w:rsidR="00DA50A5" w:rsidRDefault="00DA50A5" w:rsidP="00DA50A5">
            <w:pPr>
              <w:jc w:val="center"/>
            </w:pPr>
            <w:r>
              <w:rPr>
                <w:rFonts w:ascii="Calibri" w:hAnsi="Calibri"/>
                <w:color w:val="000000"/>
                <w:sz w:val="22"/>
                <w:szCs w:val="22"/>
              </w:rPr>
              <w:t>RR5</w:t>
            </w:r>
          </w:p>
        </w:tc>
        <w:tc>
          <w:tcPr>
            <w:tcW w:w="3267" w:type="pct"/>
            <w:vAlign w:val="bottom"/>
          </w:tcPr>
          <w:p w14:paraId="64EE2D31" w14:textId="7DE8EBCF" w:rsidR="00DA50A5" w:rsidRDefault="00DA50A5" w:rsidP="00DA50A5">
            <w:pPr>
              <w:jc w:val="center"/>
            </w:pPr>
            <w:r>
              <w:rPr>
                <w:rFonts w:ascii="Calibri" w:hAnsi="Calibri"/>
                <w:color w:val="000000"/>
                <w:sz w:val="22"/>
                <w:szCs w:val="22"/>
              </w:rPr>
              <w:t>5811.77</w:t>
            </w:r>
          </w:p>
        </w:tc>
      </w:tr>
      <w:tr w:rsidR="00DA50A5" w14:paraId="0247A5F8" w14:textId="77777777" w:rsidTr="003B7277">
        <w:trPr>
          <w:jc w:val="center"/>
        </w:trPr>
        <w:tc>
          <w:tcPr>
            <w:tcW w:w="1733" w:type="pct"/>
            <w:vAlign w:val="bottom"/>
          </w:tcPr>
          <w:p w14:paraId="1EB2D0EF" w14:textId="28462008" w:rsidR="00DA50A5" w:rsidRDefault="00DA50A5" w:rsidP="00DA50A5">
            <w:pPr>
              <w:jc w:val="center"/>
            </w:pPr>
            <w:r>
              <w:rPr>
                <w:rFonts w:ascii="Calibri" w:hAnsi="Calibri"/>
                <w:color w:val="000000"/>
                <w:sz w:val="22"/>
                <w:szCs w:val="22"/>
              </w:rPr>
              <w:t>RR2</w:t>
            </w:r>
          </w:p>
        </w:tc>
        <w:tc>
          <w:tcPr>
            <w:tcW w:w="3267" w:type="pct"/>
            <w:vAlign w:val="bottom"/>
          </w:tcPr>
          <w:p w14:paraId="4D0635B8" w14:textId="451AA257" w:rsidR="00DA50A5" w:rsidRDefault="00DA50A5" w:rsidP="00DA50A5">
            <w:pPr>
              <w:jc w:val="center"/>
            </w:pPr>
            <w:r>
              <w:rPr>
                <w:rFonts w:ascii="Calibri" w:hAnsi="Calibri"/>
                <w:color w:val="000000"/>
                <w:sz w:val="22"/>
                <w:szCs w:val="22"/>
              </w:rPr>
              <w:t>5809.22</w:t>
            </w:r>
          </w:p>
        </w:tc>
      </w:tr>
      <w:tr w:rsidR="00DA50A5" w14:paraId="68CD2A22" w14:textId="77777777" w:rsidTr="003B7277">
        <w:trPr>
          <w:jc w:val="center"/>
        </w:trPr>
        <w:tc>
          <w:tcPr>
            <w:tcW w:w="1733" w:type="pct"/>
            <w:vAlign w:val="bottom"/>
          </w:tcPr>
          <w:p w14:paraId="11B6D192" w14:textId="1624BFCB" w:rsidR="00DA50A5" w:rsidRDefault="00DA50A5" w:rsidP="00DA50A5">
            <w:pPr>
              <w:jc w:val="center"/>
            </w:pPr>
            <w:r>
              <w:rPr>
                <w:rFonts w:ascii="Calibri" w:hAnsi="Calibri"/>
                <w:color w:val="000000"/>
                <w:sz w:val="22"/>
                <w:szCs w:val="22"/>
              </w:rPr>
              <w:t>RR3</w:t>
            </w:r>
          </w:p>
        </w:tc>
        <w:tc>
          <w:tcPr>
            <w:tcW w:w="3267" w:type="pct"/>
            <w:vAlign w:val="bottom"/>
          </w:tcPr>
          <w:p w14:paraId="2D92838B" w14:textId="67D17860" w:rsidR="00DA50A5" w:rsidRDefault="00DA50A5" w:rsidP="00DA50A5">
            <w:pPr>
              <w:jc w:val="center"/>
            </w:pPr>
            <w:r>
              <w:rPr>
                <w:rFonts w:ascii="Calibri" w:hAnsi="Calibri"/>
                <w:color w:val="000000"/>
                <w:sz w:val="22"/>
                <w:szCs w:val="22"/>
              </w:rPr>
              <w:t>5022.87</w:t>
            </w:r>
          </w:p>
        </w:tc>
      </w:tr>
      <w:tr w:rsidR="00DA50A5" w14:paraId="41070CAD" w14:textId="77777777" w:rsidTr="003B7277">
        <w:trPr>
          <w:jc w:val="center"/>
        </w:trPr>
        <w:tc>
          <w:tcPr>
            <w:tcW w:w="1733" w:type="pct"/>
            <w:vAlign w:val="bottom"/>
          </w:tcPr>
          <w:p w14:paraId="21D654DD" w14:textId="3065FDC2" w:rsidR="00DA50A5" w:rsidRDefault="00DA50A5" w:rsidP="00DA50A5">
            <w:pPr>
              <w:jc w:val="center"/>
            </w:pPr>
            <w:r>
              <w:rPr>
                <w:rFonts w:ascii="Calibri" w:hAnsi="Calibri"/>
                <w:color w:val="000000"/>
                <w:sz w:val="22"/>
                <w:szCs w:val="22"/>
              </w:rPr>
              <w:t>RR4</w:t>
            </w:r>
          </w:p>
        </w:tc>
        <w:tc>
          <w:tcPr>
            <w:tcW w:w="3267" w:type="pct"/>
            <w:vAlign w:val="bottom"/>
          </w:tcPr>
          <w:p w14:paraId="36825516" w14:textId="3D670212" w:rsidR="00DA50A5" w:rsidRDefault="00DA50A5" w:rsidP="00DA50A5">
            <w:pPr>
              <w:jc w:val="center"/>
            </w:pPr>
            <w:r>
              <w:rPr>
                <w:rFonts w:ascii="Calibri" w:hAnsi="Calibri"/>
                <w:color w:val="000000"/>
                <w:sz w:val="22"/>
                <w:szCs w:val="22"/>
              </w:rPr>
              <w:t>2606.19</w:t>
            </w:r>
          </w:p>
        </w:tc>
      </w:tr>
    </w:tbl>
    <w:p w14:paraId="488DDD6A" w14:textId="77777777" w:rsidR="000C233A" w:rsidRDefault="000C233A"/>
    <w:p w14:paraId="05FA8CD7" w14:textId="0B287D5D" w:rsidR="00DA50A5" w:rsidRDefault="00DA50A5" w:rsidP="00DA50A5">
      <w:pPr>
        <w:pStyle w:val="Caption"/>
        <w:jc w:val="center"/>
      </w:pPr>
      <w:r>
        <w:t xml:space="preserve">Table </w:t>
      </w:r>
      <w:r>
        <w:fldChar w:fldCharType="begin"/>
      </w:r>
      <w:r>
        <w:instrText xml:space="preserve"> SEQ Table \* ARABIC </w:instrText>
      </w:r>
      <w:r>
        <w:fldChar w:fldCharType="separate"/>
      </w:r>
      <w:r w:rsidR="00276672">
        <w:rPr>
          <w:noProof/>
        </w:rPr>
        <w:t>2</w:t>
      </w:r>
      <w:r>
        <w:fldChar w:fldCharType="end"/>
      </w:r>
      <w:r>
        <w:t xml:space="preserve"> HHI based on charges</w:t>
      </w: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6121"/>
      </w:tblGrid>
      <w:tr w:rsidR="00DA50A5" w:rsidRPr="00DA50A5" w14:paraId="142CCF56" w14:textId="77777777" w:rsidTr="00DA50A5">
        <w:trPr>
          <w:trHeight w:val="300"/>
          <w:jc w:val="center"/>
        </w:trPr>
        <w:tc>
          <w:tcPr>
            <w:tcW w:w="1730" w:type="pct"/>
            <w:tcBorders>
              <w:top w:val="single" w:sz="4" w:space="0" w:color="auto"/>
              <w:bottom w:val="single" w:sz="4" w:space="0" w:color="auto"/>
            </w:tcBorders>
            <w:noWrap/>
            <w:vAlign w:val="center"/>
            <w:hideMark/>
          </w:tcPr>
          <w:p w14:paraId="78319FB6" w14:textId="77777777" w:rsidR="00DA50A5" w:rsidRPr="00DA50A5" w:rsidRDefault="00DA50A5" w:rsidP="00DA50A5">
            <w:pPr>
              <w:jc w:val="center"/>
              <w:rPr>
                <w:b/>
                <w:bCs/>
              </w:rPr>
            </w:pPr>
            <w:r w:rsidRPr="00DA50A5">
              <w:rPr>
                <w:b/>
                <w:bCs/>
              </w:rPr>
              <w:t>RR</w:t>
            </w:r>
          </w:p>
        </w:tc>
        <w:tc>
          <w:tcPr>
            <w:tcW w:w="3270" w:type="pct"/>
            <w:tcBorders>
              <w:top w:val="single" w:sz="4" w:space="0" w:color="auto"/>
              <w:bottom w:val="single" w:sz="4" w:space="0" w:color="auto"/>
            </w:tcBorders>
            <w:noWrap/>
            <w:vAlign w:val="center"/>
            <w:hideMark/>
          </w:tcPr>
          <w:p w14:paraId="22C900B4" w14:textId="09A16AC3" w:rsidR="00DA50A5" w:rsidRPr="00DA50A5" w:rsidRDefault="00DA50A5" w:rsidP="00DA50A5">
            <w:pPr>
              <w:jc w:val="center"/>
              <w:rPr>
                <w:b/>
                <w:bCs/>
              </w:rPr>
            </w:pPr>
            <w:r>
              <w:rPr>
                <w:b/>
                <w:bCs/>
              </w:rPr>
              <w:t>HHI</w:t>
            </w:r>
          </w:p>
        </w:tc>
      </w:tr>
      <w:tr w:rsidR="00DA50A5" w:rsidRPr="00DA50A5" w14:paraId="72342935" w14:textId="77777777" w:rsidTr="000C233A">
        <w:trPr>
          <w:trHeight w:val="300"/>
          <w:jc w:val="center"/>
        </w:trPr>
        <w:tc>
          <w:tcPr>
            <w:tcW w:w="1730" w:type="pct"/>
            <w:tcBorders>
              <w:top w:val="single" w:sz="4" w:space="0" w:color="auto"/>
            </w:tcBorders>
            <w:shd w:val="clear" w:color="auto" w:fill="A5A5A5" w:themeFill="accent3"/>
            <w:noWrap/>
            <w:vAlign w:val="bottom"/>
            <w:hideMark/>
          </w:tcPr>
          <w:p w14:paraId="161AD6D5" w14:textId="45265B11" w:rsidR="00DA50A5" w:rsidRPr="000C233A" w:rsidRDefault="00DA50A5" w:rsidP="00DA50A5">
            <w:pPr>
              <w:jc w:val="center"/>
              <w:rPr>
                <w:rFonts w:ascii="Calibri" w:hAnsi="Calibri"/>
                <w:color w:val="000000"/>
                <w:sz w:val="22"/>
                <w:szCs w:val="22"/>
              </w:rPr>
            </w:pPr>
            <w:r>
              <w:rPr>
                <w:rFonts w:ascii="Calibri" w:hAnsi="Calibri"/>
                <w:color w:val="000000"/>
                <w:sz w:val="22"/>
                <w:szCs w:val="22"/>
              </w:rPr>
              <w:t>RR1</w:t>
            </w:r>
          </w:p>
        </w:tc>
        <w:tc>
          <w:tcPr>
            <w:tcW w:w="3270" w:type="pct"/>
            <w:tcBorders>
              <w:top w:val="single" w:sz="4" w:space="0" w:color="auto"/>
            </w:tcBorders>
            <w:shd w:val="clear" w:color="auto" w:fill="A5A5A5" w:themeFill="accent3"/>
            <w:noWrap/>
            <w:vAlign w:val="bottom"/>
            <w:hideMark/>
          </w:tcPr>
          <w:p w14:paraId="1EB072E3" w14:textId="3BAB39E4" w:rsidR="00DA50A5" w:rsidRPr="000C233A" w:rsidRDefault="00DA50A5" w:rsidP="00DA50A5">
            <w:pPr>
              <w:jc w:val="center"/>
              <w:rPr>
                <w:rFonts w:ascii="Calibri" w:hAnsi="Calibri"/>
                <w:color w:val="000000"/>
                <w:sz w:val="22"/>
                <w:szCs w:val="22"/>
              </w:rPr>
            </w:pPr>
            <w:r>
              <w:rPr>
                <w:rFonts w:ascii="Calibri" w:hAnsi="Calibri"/>
                <w:color w:val="000000"/>
                <w:sz w:val="22"/>
                <w:szCs w:val="22"/>
              </w:rPr>
              <w:t>8058.97</w:t>
            </w:r>
          </w:p>
        </w:tc>
      </w:tr>
      <w:tr w:rsidR="00DA50A5" w:rsidRPr="00DA50A5" w14:paraId="514670D8" w14:textId="77777777" w:rsidTr="000C233A">
        <w:trPr>
          <w:trHeight w:val="70"/>
          <w:jc w:val="center"/>
        </w:trPr>
        <w:tc>
          <w:tcPr>
            <w:tcW w:w="1730" w:type="pct"/>
            <w:noWrap/>
            <w:vAlign w:val="bottom"/>
            <w:hideMark/>
          </w:tcPr>
          <w:p w14:paraId="561DBFAD" w14:textId="3E71B124" w:rsidR="00DA50A5" w:rsidRPr="000C233A" w:rsidRDefault="00DA50A5" w:rsidP="00DA50A5">
            <w:pPr>
              <w:jc w:val="center"/>
              <w:rPr>
                <w:rFonts w:ascii="Calibri" w:hAnsi="Calibri"/>
                <w:color w:val="000000"/>
                <w:sz w:val="22"/>
                <w:szCs w:val="22"/>
              </w:rPr>
            </w:pPr>
            <w:r>
              <w:rPr>
                <w:rFonts w:ascii="Calibri" w:hAnsi="Calibri"/>
                <w:color w:val="000000"/>
                <w:sz w:val="22"/>
                <w:szCs w:val="22"/>
              </w:rPr>
              <w:t>RR5</w:t>
            </w:r>
          </w:p>
        </w:tc>
        <w:tc>
          <w:tcPr>
            <w:tcW w:w="3270" w:type="pct"/>
            <w:noWrap/>
            <w:vAlign w:val="bottom"/>
            <w:hideMark/>
          </w:tcPr>
          <w:p w14:paraId="4E4F3F91" w14:textId="298E63B8" w:rsidR="00DA50A5" w:rsidRPr="000C233A" w:rsidRDefault="00DA50A5" w:rsidP="00DA50A5">
            <w:pPr>
              <w:jc w:val="center"/>
              <w:rPr>
                <w:rFonts w:ascii="Calibri" w:hAnsi="Calibri"/>
                <w:color w:val="000000"/>
                <w:sz w:val="22"/>
                <w:szCs w:val="22"/>
              </w:rPr>
            </w:pPr>
            <w:r>
              <w:rPr>
                <w:rFonts w:ascii="Calibri" w:hAnsi="Calibri"/>
                <w:color w:val="000000"/>
                <w:sz w:val="22"/>
                <w:szCs w:val="22"/>
              </w:rPr>
              <w:t>6817.21</w:t>
            </w:r>
          </w:p>
        </w:tc>
      </w:tr>
      <w:tr w:rsidR="00DA50A5" w:rsidRPr="00DA50A5" w14:paraId="0630CF23" w14:textId="77777777" w:rsidTr="000C233A">
        <w:trPr>
          <w:trHeight w:val="70"/>
          <w:jc w:val="center"/>
        </w:trPr>
        <w:tc>
          <w:tcPr>
            <w:tcW w:w="1730" w:type="pct"/>
            <w:noWrap/>
            <w:vAlign w:val="bottom"/>
            <w:hideMark/>
          </w:tcPr>
          <w:p w14:paraId="16640023" w14:textId="159E83CD" w:rsidR="00DA50A5" w:rsidRPr="000C233A" w:rsidRDefault="00DA50A5" w:rsidP="00DA50A5">
            <w:pPr>
              <w:jc w:val="center"/>
              <w:rPr>
                <w:rFonts w:ascii="Calibri" w:hAnsi="Calibri"/>
                <w:color w:val="000000"/>
                <w:sz w:val="22"/>
                <w:szCs w:val="22"/>
              </w:rPr>
            </w:pPr>
            <w:r>
              <w:rPr>
                <w:rFonts w:ascii="Calibri" w:hAnsi="Calibri"/>
                <w:color w:val="000000"/>
                <w:sz w:val="22"/>
                <w:szCs w:val="22"/>
              </w:rPr>
              <w:t>RR2</w:t>
            </w:r>
          </w:p>
        </w:tc>
        <w:tc>
          <w:tcPr>
            <w:tcW w:w="3270" w:type="pct"/>
            <w:noWrap/>
            <w:vAlign w:val="bottom"/>
            <w:hideMark/>
          </w:tcPr>
          <w:p w14:paraId="15660740" w14:textId="2A9D2396" w:rsidR="00DA50A5" w:rsidRPr="000C233A" w:rsidRDefault="00DA50A5" w:rsidP="00DA50A5">
            <w:pPr>
              <w:jc w:val="center"/>
              <w:rPr>
                <w:rFonts w:ascii="Calibri" w:hAnsi="Calibri"/>
                <w:color w:val="000000"/>
                <w:sz w:val="22"/>
                <w:szCs w:val="22"/>
              </w:rPr>
            </w:pPr>
            <w:r>
              <w:rPr>
                <w:rFonts w:ascii="Calibri" w:hAnsi="Calibri"/>
                <w:color w:val="000000"/>
                <w:sz w:val="22"/>
                <w:szCs w:val="22"/>
              </w:rPr>
              <w:t>5941.76</w:t>
            </w:r>
          </w:p>
        </w:tc>
      </w:tr>
      <w:tr w:rsidR="00DA50A5" w:rsidRPr="00DA50A5" w14:paraId="5A2D2663" w14:textId="77777777" w:rsidTr="000C233A">
        <w:trPr>
          <w:trHeight w:val="108"/>
          <w:jc w:val="center"/>
        </w:trPr>
        <w:tc>
          <w:tcPr>
            <w:tcW w:w="1730" w:type="pct"/>
            <w:noWrap/>
            <w:vAlign w:val="bottom"/>
            <w:hideMark/>
          </w:tcPr>
          <w:p w14:paraId="19871DA0" w14:textId="49179F24" w:rsidR="00DA50A5" w:rsidRPr="000C233A" w:rsidRDefault="00DA50A5" w:rsidP="00DA50A5">
            <w:pPr>
              <w:jc w:val="center"/>
              <w:rPr>
                <w:rFonts w:ascii="Calibri" w:hAnsi="Calibri"/>
                <w:color w:val="000000"/>
                <w:sz w:val="22"/>
                <w:szCs w:val="22"/>
              </w:rPr>
            </w:pPr>
            <w:r>
              <w:rPr>
                <w:rFonts w:ascii="Calibri" w:hAnsi="Calibri"/>
                <w:color w:val="000000"/>
                <w:sz w:val="22"/>
                <w:szCs w:val="22"/>
              </w:rPr>
              <w:t>RR3</w:t>
            </w:r>
          </w:p>
        </w:tc>
        <w:tc>
          <w:tcPr>
            <w:tcW w:w="3270" w:type="pct"/>
            <w:noWrap/>
            <w:vAlign w:val="bottom"/>
            <w:hideMark/>
          </w:tcPr>
          <w:p w14:paraId="6F884788" w14:textId="18A340B0" w:rsidR="00DA50A5" w:rsidRPr="000C233A" w:rsidRDefault="00DA50A5" w:rsidP="00DA50A5">
            <w:pPr>
              <w:jc w:val="center"/>
              <w:rPr>
                <w:rFonts w:ascii="Calibri" w:hAnsi="Calibri"/>
                <w:color w:val="000000"/>
                <w:sz w:val="22"/>
                <w:szCs w:val="22"/>
              </w:rPr>
            </w:pPr>
            <w:r>
              <w:rPr>
                <w:rFonts w:ascii="Calibri" w:hAnsi="Calibri"/>
                <w:color w:val="000000"/>
                <w:sz w:val="22"/>
                <w:szCs w:val="22"/>
              </w:rPr>
              <w:t>5025.60</w:t>
            </w:r>
          </w:p>
        </w:tc>
      </w:tr>
      <w:tr w:rsidR="00DA50A5" w:rsidRPr="00DA50A5" w14:paraId="66BEF9D1" w14:textId="77777777" w:rsidTr="000C233A">
        <w:trPr>
          <w:trHeight w:val="70"/>
          <w:jc w:val="center"/>
        </w:trPr>
        <w:tc>
          <w:tcPr>
            <w:tcW w:w="1730" w:type="pct"/>
            <w:noWrap/>
            <w:vAlign w:val="bottom"/>
            <w:hideMark/>
          </w:tcPr>
          <w:p w14:paraId="11269915" w14:textId="643A536B" w:rsidR="00DA50A5" w:rsidRPr="000C233A" w:rsidRDefault="00DA50A5" w:rsidP="00DA50A5">
            <w:pPr>
              <w:jc w:val="center"/>
              <w:rPr>
                <w:rFonts w:ascii="Calibri" w:hAnsi="Calibri"/>
                <w:color w:val="000000"/>
                <w:sz w:val="22"/>
                <w:szCs w:val="22"/>
              </w:rPr>
            </w:pPr>
            <w:r>
              <w:rPr>
                <w:rFonts w:ascii="Calibri" w:hAnsi="Calibri"/>
                <w:color w:val="000000"/>
                <w:sz w:val="22"/>
                <w:szCs w:val="22"/>
              </w:rPr>
              <w:t>RR4</w:t>
            </w:r>
          </w:p>
        </w:tc>
        <w:tc>
          <w:tcPr>
            <w:tcW w:w="3270" w:type="pct"/>
            <w:noWrap/>
            <w:vAlign w:val="bottom"/>
            <w:hideMark/>
          </w:tcPr>
          <w:p w14:paraId="10CB6A70" w14:textId="6F6378D5" w:rsidR="00DA50A5" w:rsidRPr="000C233A" w:rsidRDefault="00DA50A5" w:rsidP="00DA50A5">
            <w:pPr>
              <w:jc w:val="center"/>
              <w:rPr>
                <w:rFonts w:ascii="Calibri" w:hAnsi="Calibri"/>
                <w:color w:val="000000"/>
                <w:sz w:val="22"/>
                <w:szCs w:val="22"/>
              </w:rPr>
            </w:pPr>
            <w:r>
              <w:rPr>
                <w:rFonts w:ascii="Calibri" w:hAnsi="Calibri"/>
                <w:color w:val="000000"/>
                <w:sz w:val="22"/>
                <w:szCs w:val="22"/>
              </w:rPr>
              <w:t>2567.37</w:t>
            </w:r>
          </w:p>
        </w:tc>
      </w:tr>
    </w:tbl>
    <w:p w14:paraId="3D175A50" w14:textId="77777777" w:rsidR="00DA50A5" w:rsidRDefault="00DA50A5"/>
    <w:p w14:paraId="3672460F" w14:textId="58F68BB5" w:rsidR="000C233A" w:rsidRDefault="000C233A"/>
    <w:p w14:paraId="055A8BEE" w14:textId="6D6B322B" w:rsidR="000C233A" w:rsidRDefault="000C233A" w:rsidP="00FF0292">
      <w:pPr>
        <w:spacing w:line="276" w:lineRule="auto"/>
        <w:jc w:val="both"/>
      </w:pPr>
      <w:r>
        <w:t>To find out which hospitals play important roles in each RR, especially in RR1, we calculate the market share</w:t>
      </w:r>
      <w:r w:rsidR="00276672">
        <w:t>s of each hospital</w:t>
      </w:r>
      <w:r>
        <w:t xml:space="preserve"> based on records and charges.</w:t>
      </w:r>
      <w:r w:rsidR="00276672">
        <w:t xml:space="preserve"> According to the following tables, we can find that for the lion player RR1, </w:t>
      </w:r>
      <w:r w:rsidR="00276672" w:rsidRPr="00276672">
        <w:t xml:space="preserve">University of Vermont Medical Center </w:t>
      </w:r>
      <w:r w:rsidR="00276672">
        <w:t xml:space="preserve">(hnum2 = 5) has the largest market share. </w:t>
      </w:r>
    </w:p>
    <w:p w14:paraId="447092FB" w14:textId="2DC38EA9" w:rsidR="00276672" w:rsidRDefault="00276672" w:rsidP="00FF0292">
      <w:pPr>
        <w:spacing w:line="276" w:lineRule="auto"/>
        <w:jc w:val="both"/>
      </w:pPr>
    </w:p>
    <w:p w14:paraId="4DF584E7" w14:textId="0124738F" w:rsidR="000C233A" w:rsidRDefault="00276672" w:rsidP="00FF0292">
      <w:pPr>
        <w:spacing w:line="276" w:lineRule="auto"/>
        <w:jc w:val="both"/>
      </w:pPr>
      <w:r>
        <w:t xml:space="preserve">As for the reason why </w:t>
      </w:r>
      <w:r w:rsidRPr="00276672">
        <w:t>University of Vermont Medical Center</w:t>
      </w:r>
      <w:r>
        <w:t xml:space="preserve"> is the monopoly in the hospitals, we think </w:t>
      </w:r>
      <w:r w:rsidRPr="00276672">
        <w:t>Advanced technology and techniques</w:t>
      </w:r>
      <w:r>
        <w:t xml:space="preserve"> is a vital factor. According to our clustering analysis last semester, we found that </w:t>
      </w:r>
      <w:r w:rsidRPr="00276672">
        <w:t>University of Vermont Medical Center</w:t>
      </w:r>
      <w:r>
        <w:t xml:space="preserve"> </w:t>
      </w:r>
      <w:r w:rsidRPr="00276672">
        <w:t>has comprehensive surgical services and imaging equipment, especially in fields of heart, brain, and tiny blood vessels.</w:t>
      </w:r>
      <w:r w:rsidRPr="00276672">
        <w:t xml:space="preserve"> </w:t>
      </w:r>
      <w:r>
        <w:t xml:space="preserve">Therefore, it attracts many well-paid payers although the cost of care is </w:t>
      </w:r>
      <w:r w:rsidR="00CF39D8">
        <w:t>high.</w:t>
      </w:r>
    </w:p>
    <w:p w14:paraId="025B7B3E" w14:textId="77777777" w:rsidR="00276672" w:rsidRDefault="00276672"/>
    <w:p w14:paraId="267275E0" w14:textId="0F649358" w:rsidR="000C233A" w:rsidRDefault="000C233A" w:rsidP="000C233A">
      <w:pPr>
        <w:pStyle w:val="Caption"/>
        <w:jc w:val="center"/>
      </w:pPr>
      <w:r>
        <w:t xml:space="preserve">Table </w:t>
      </w:r>
      <w:r>
        <w:fldChar w:fldCharType="begin"/>
      </w:r>
      <w:r>
        <w:instrText xml:space="preserve"> SEQ Table \* ARABIC </w:instrText>
      </w:r>
      <w:r>
        <w:fldChar w:fldCharType="separate"/>
      </w:r>
      <w:r w:rsidR="00276672">
        <w:rPr>
          <w:noProof/>
        </w:rPr>
        <w:t>3</w:t>
      </w:r>
      <w:r>
        <w:fldChar w:fldCharType="end"/>
      </w:r>
      <w:r>
        <w:t xml:space="preserve"> Market share of each hospital based on records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1850"/>
        <w:gridCol w:w="3592"/>
      </w:tblGrid>
      <w:tr w:rsidR="000C233A" w:rsidRPr="000C233A" w14:paraId="69E91EC3" w14:textId="77777777" w:rsidTr="00276672">
        <w:trPr>
          <w:trHeight w:val="234"/>
        </w:trPr>
        <w:tc>
          <w:tcPr>
            <w:tcW w:w="2093" w:type="pct"/>
            <w:tcBorders>
              <w:top w:val="single" w:sz="4" w:space="0" w:color="auto"/>
              <w:bottom w:val="single" w:sz="4" w:space="0" w:color="auto"/>
            </w:tcBorders>
            <w:noWrap/>
            <w:vAlign w:val="center"/>
            <w:hideMark/>
          </w:tcPr>
          <w:p w14:paraId="18C685FC" w14:textId="016DA92B" w:rsidR="000C233A" w:rsidRPr="000C233A" w:rsidRDefault="000C233A" w:rsidP="00276672">
            <w:pPr>
              <w:jc w:val="center"/>
              <w:rPr>
                <w:b/>
                <w:bCs/>
              </w:rPr>
            </w:pPr>
            <w:r w:rsidRPr="000C233A">
              <w:rPr>
                <w:b/>
                <w:bCs/>
              </w:rPr>
              <w:t>RR</w:t>
            </w:r>
          </w:p>
        </w:tc>
        <w:tc>
          <w:tcPr>
            <w:tcW w:w="988" w:type="pct"/>
            <w:tcBorders>
              <w:top w:val="single" w:sz="4" w:space="0" w:color="auto"/>
              <w:bottom w:val="single" w:sz="4" w:space="0" w:color="auto"/>
            </w:tcBorders>
            <w:noWrap/>
            <w:vAlign w:val="center"/>
            <w:hideMark/>
          </w:tcPr>
          <w:p w14:paraId="130ED716" w14:textId="77777777" w:rsidR="000C233A" w:rsidRPr="000C233A" w:rsidRDefault="000C233A" w:rsidP="00276672">
            <w:pPr>
              <w:jc w:val="center"/>
              <w:rPr>
                <w:b/>
                <w:bCs/>
              </w:rPr>
            </w:pPr>
            <w:r w:rsidRPr="000C233A">
              <w:rPr>
                <w:b/>
                <w:bCs/>
              </w:rPr>
              <w:t>hum2</w:t>
            </w:r>
          </w:p>
        </w:tc>
        <w:tc>
          <w:tcPr>
            <w:tcW w:w="1919" w:type="pct"/>
            <w:tcBorders>
              <w:top w:val="single" w:sz="4" w:space="0" w:color="auto"/>
              <w:bottom w:val="single" w:sz="4" w:space="0" w:color="auto"/>
            </w:tcBorders>
            <w:noWrap/>
            <w:vAlign w:val="center"/>
            <w:hideMark/>
          </w:tcPr>
          <w:p w14:paraId="7D98CC78" w14:textId="77777777" w:rsidR="000C233A" w:rsidRPr="000C233A" w:rsidRDefault="000C233A" w:rsidP="00276672">
            <w:pPr>
              <w:jc w:val="center"/>
              <w:rPr>
                <w:b/>
                <w:bCs/>
              </w:rPr>
            </w:pPr>
            <w:r w:rsidRPr="000C233A">
              <w:rPr>
                <w:b/>
                <w:bCs/>
              </w:rPr>
              <w:t>market share</w:t>
            </w:r>
          </w:p>
        </w:tc>
      </w:tr>
      <w:tr w:rsidR="000C233A" w:rsidRPr="000C233A" w14:paraId="0A71E989" w14:textId="77777777" w:rsidTr="00276672">
        <w:trPr>
          <w:trHeight w:val="234"/>
        </w:trPr>
        <w:tc>
          <w:tcPr>
            <w:tcW w:w="2093" w:type="pct"/>
            <w:tcBorders>
              <w:top w:val="single" w:sz="4" w:space="0" w:color="auto"/>
            </w:tcBorders>
            <w:shd w:val="clear" w:color="auto" w:fill="A5A5A5" w:themeFill="accent3"/>
            <w:noWrap/>
            <w:vAlign w:val="center"/>
            <w:hideMark/>
          </w:tcPr>
          <w:p w14:paraId="2F4E12C1" w14:textId="2C5D1143" w:rsidR="000C233A" w:rsidRPr="000C233A" w:rsidRDefault="000C233A" w:rsidP="00276672">
            <w:pPr>
              <w:jc w:val="center"/>
            </w:pPr>
            <w:r>
              <w:rPr>
                <w:rFonts w:ascii="Calibri" w:hAnsi="Calibri"/>
                <w:color w:val="000000"/>
                <w:sz w:val="22"/>
                <w:szCs w:val="22"/>
              </w:rPr>
              <w:t>RR1</w:t>
            </w:r>
          </w:p>
        </w:tc>
        <w:tc>
          <w:tcPr>
            <w:tcW w:w="988" w:type="pct"/>
            <w:tcBorders>
              <w:top w:val="single" w:sz="4" w:space="0" w:color="auto"/>
            </w:tcBorders>
            <w:shd w:val="clear" w:color="auto" w:fill="A5A5A5" w:themeFill="accent3"/>
            <w:noWrap/>
            <w:vAlign w:val="center"/>
            <w:hideMark/>
          </w:tcPr>
          <w:p w14:paraId="61324FE0" w14:textId="101E576E" w:rsidR="000C233A" w:rsidRPr="000C233A" w:rsidRDefault="000C233A" w:rsidP="00276672">
            <w:pPr>
              <w:jc w:val="center"/>
            </w:pPr>
            <w:r>
              <w:rPr>
                <w:rFonts w:ascii="Calibri" w:hAnsi="Calibri"/>
                <w:color w:val="000000"/>
                <w:sz w:val="22"/>
                <w:szCs w:val="22"/>
              </w:rPr>
              <w:t>5</w:t>
            </w:r>
          </w:p>
        </w:tc>
        <w:tc>
          <w:tcPr>
            <w:tcW w:w="1919" w:type="pct"/>
            <w:tcBorders>
              <w:top w:val="single" w:sz="4" w:space="0" w:color="auto"/>
            </w:tcBorders>
            <w:shd w:val="clear" w:color="auto" w:fill="A5A5A5" w:themeFill="accent3"/>
            <w:noWrap/>
            <w:vAlign w:val="center"/>
            <w:hideMark/>
          </w:tcPr>
          <w:p w14:paraId="5D6F1B29" w14:textId="7EE9655F" w:rsidR="000C233A" w:rsidRPr="000C233A" w:rsidRDefault="000C233A" w:rsidP="00276672">
            <w:pPr>
              <w:jc w:val="center"/>
            </w:pPr>
            <w:r>
              <w:rPr>
                <w:rFonts w:ascii="Calibri" w:hAnsi="Calibri"/>
                <w:color w:val="000000"/>
                <w:sz w:val="22"/>
                <w:szCs w:val="22"/>
              </w:rPr>
              <w:t>0.80</w:t>
            </w:r>
          </w:p>
        </w:tc>
      </w:tr>
      <w:tr w:rsidR="000C233A" w:rsidRPr="000C233A" w14:paraId="39D758E9" w14:textId="77777777" w:rsidTr="00276672">
        <w:trPr>
          <w:trHeight w:val="234"/>
        </w:trPr>
        <w:tc>
          <w:tcPr>
            <w:tcW w:w="2093" w:type="pct"/>
            <w:noWrap/>
            <w:vAlign w:val="center"/>
            <w:hideMark/>
          </w:tcPr>
          <w:p w14:paraId="4F18E6FD" w14:textId="5027E765" w:rsidR="000C233A" w:rsidRPr="000C233A" w:rsidRDefault="000C233A" w:rsidP="00276672">
            <w:pPr>
              <w:jc w:val="center"/>
            </w:pPr>
            <w:r>
              <w:rPr>
                <w:rFonts w:ascii="Calibri" w:hAnsi="Calibri"/>
                <w:color w:val="000000"/>
                <w:sz w:val="22"/>
                <w:szCs w:val="22"/>
              </w:rPr>
              <w:t>RR1</w:t>
            </w:r>
          </w:p>
        </w:tc>
        <w:tc>
          <w:tcPr>
            <w:tcW w:w="988" w:type="pct"/>
            <w:noWrap/>
            <w:vAlign w:val="center"/>
            <w:hideMark/>
          </w:tcPr>
          <w:p w14:paraId="096256EC" w14:textId="5A5F34E5" w:rsidR="000C233A" w:rsidRPr="000C233A" w:rsidRDefault="000C233A" w:rsidP="00276672">
            <w:pPr>
              <w:jc w:val="center"/>
            </w:pPr>
            <w:r>
              <w:rPr>
                <w:rFonts w:ascii="Calibri" w:hAnsi="Calibri"/>
                <w:color w:val="000000"/>
                <w:sz w:val="22"/>
                <w:szCs w:val="22"/>
              </w:rPr>
              <w:t>1</w:t>
            </w:r>
          </w:p>
        </w:tc>
        <w:tc>
          <w:tcPr>
            <w:tcW w:w="1919" w:type="pct"/>
            <w:noWrap/>
            <w:vAlign w:val="center"/>
            <w:hideMark/>
          </w:tcPr>
          <w:p w14:paraId="19C87258" w14:textId="7685F8F8" w:rsidR="000C233A" w:rsidRPr="000C233A" w:rsidRDefault="000C233A" w:rsidP="00276672">
            <w:pPr>
              <w:jc w:val="center"/>
            </w:pPr>
            <w:r>
              <w:rPr>
                <w:rFonts w:ascii="Calibri" w:hAnsi="Calibri"/>
                <w:color w:val="000000"/>
                <w:sz w:val="22"/>
                <w:szCs w:val="22"/>
              </w:rPr>
              <w:t>0.13</w:t>
            </w:r>
          </w:p>
        </w:tc>
      </w:tr>
      <w:tr w:rsidR="000C233A" w:rsidRPr="000C233A" w14:paraId="64671002" w14:textId="77777777" w:rsidTr="00276672">
        <w:trPr>
          <w:trHeight w:val="234"/>
        </w:trPr>
        <w:tc>
          <w:tcPr>
            <w:tcW w:w="2093" w:type="pct"/>
            <w:noWrap/>
            <w:vAlign w:val="center"/>
            <w:hideMark/>
          </w:tcPr>
          <w:p w14:paraId="157AAC4D" w14:textId="6E76281D" w:rsidR="000C233A" w:rsidRPr="000C233A" w:rsidRDefault="000C233A" w:rsidP="00276672">
            <w:pPr>
              <w:jc w:val="center"/>
            </w:pPr>
            <w:r>
              <w:rPr>
                <w:rFonts w:ascii="Calibri" w:hAnsi="Calibri"/>
                <w:color w:val="000000"/>
                <w:sz w:val="22"/>
                <w:szCs w:val="22"/>
              </w:rPr>
              <w:t>RR1</w:t>
            </w:r>
          </w:p>
        </w:tc>
        <w:tc>
          <w:tcPr>
            <w:tcW w:w="988" w:type="pct"/>
            <w:noWrap/>
            <w:vAlign w:val="center"/>
            <w:hideMark/>
          </w:tcPr>
          <w:p w14:paraId="1E30CEA8" w14:textId="4CF6DC7B" w:rsidR="000C233A" w:rsidRPr="000C233A" w:rsidRDefault="000C233A" w:rsidP="00276672">
            <w:pPr>
              <w:jc w:val="center"/>
            </w:pPr>
            <w:r>
              <w:rPr>
                <w:rFonts w:ascii="Calibri" w:hAnsi="Calibri"/>
                <w:color w:val="000000"/>
                <w:sz w:val="22"/>
                <w:szCs w:val="22"/>
              </w:rPr>
              <w:t>9</w:t>
            </w:r>
          </w:p>
        </w:tc>
        <w:tc>
          <w:tcPr>
            <w:tcW w:w="1919" w:type="pct"/>
            <w:noWrap/>
            <w:vAlign w:val="center"/>
            <w:hideMark/>
          </w:tcPr>
          <w:p w14:paraId="61285C3A" w14:textId="22F6D463" w:rsidR="000C233A" w:rsidRPr="000C233A" w:rsidRDefault="000C233A" w:rsidP="00276672">
            <w:pPr>
              <w:jc w:val="center"/>
            </w:pPr>
            <w:r>
              <w:rPr>
                <w:rFonts w:ascii="Calibri" w:hAnsi="Calibri"/>
                <w:color w:val="000000"/>
                <w:sz w:val="22"/>
                <w:szCs w:val="22"/>
              </w:rPr>
              <w:t>0.07</w:t>
            </w:r>
          </w:p>
        </w:tc>
      </w:tr>
      <w:tr w:rsidR="000C233A" w:rsidRPr="000C233A" w14:paraId="25B8A87C" w14:textId="77777777" w:rsidTr="00276672">
        <w:trPr>
          <w:trHeight w:val="234"/>
        </w:trPr>
        <w:tc>
          <w:tcPr>
            <w:tcW w:w="2093" w:type="pct"/>
            <w:shd w:val="clear" w:color="auto" w:fill="A5A5A5" w:themeFill="accent3"/>
            <w:noWrap/>
            <w:vAlign w:val="center"/>
            <w:hideMark/>
          </w:tcPr>
          <w:p w14:paraId="60DE0EFE" w14:textId="68D58AE8" w:rsidR="000C233A" w:rsidRPr="000C233A" w:rsidRDefault="000C233A" w:rsidP="00276672">
            <w:pPr>
              <w:jc w:val="center"/>
            </w:pPr>
            <w:r>
              <w:rPr>
                <w:rFonts w:ascii="Calibri" w:hAnsi="Calibri"/>
                <w:color w:val="000000"/>
                <w:sz w:val="22"/>
                <w:szCs w:val="22"/>
              </w:rPr>
              <w:t>RR2</w:t>
            </w:r>
          </w:p>
        </w:tc>
        <w:tc>
          <w:tcPr>
            <w:tcW w:w="988" w:type="pct"/>
            <w:shd w:val="clear" w:color="auto" w:fill="A5A5A5" w:themeFill="accent3"/>
            <w:noWrap/>
            <w:vAlign w:val="center"/>
            <w:hideMark/>
          </w:tcPr>
          <w:p w14:paraId="41F20030" w14:textId="79F2B035" w:rsidR="000C233A" w:rsidRPr="000C233A" w:rsidRDefault="000C233A" w:rsidP="00276672">
            <w:pPr>
              <w:jc w:val="center"/>
            </w:pPr>
            <w:r>
              <w:rPr>
                <w:rFonts w:ascii="Calibri" w:hAnsi="Calibri"/>
                <w:color w:val="000000"/>
                <w:sz w:val="22"/>
                <w:szCs w:val="22"/>
              </w:rPr>
              <w:t>6</w:t>
            </w:r>
          </w:p>
        </w:tc>
        <w:tc>
          <w:tcPr>
            <w:tcW w:w="1919" w:type="pct"/>
            <w:shd w:val="clear" w:color="auto" w:fill="A5A5A5" w:themeFill="accent3"/>
            <w:noWrap/>
            <w:vAlign w:val="center"/>
            <w:hideMark/>
          </w:tcPr>
          <w:p w14:paraId="27313485" w14:textId="2AFBC886" w:rsidR="000C233A" w:rsidRPr="000C233A" w:rsidRDefault="000C233A" w:rsidP="00276672">
            <w:pPr>
              <w:jc w:val="center"/>
            </w:pPr>
            <w:r>
              <w:rPr>
                <w:rFonts w:ascii="Calibri" w:hAnsi="Calibri"/>
                <w:color w:val="000000"/>
                <w:sz w:val="22"/>
                <w:szCs w:val="22"/>
              </w:rPr>
              <w:t>0.70</w:t>
            </w:r>
          </w:p>
        </w:tc>
      </w:tr>
      <w:tr w:rsidR="000C233A" w:rsidRPr="000C233A" w14:paraId="28915054" w14:textId="77777777" w:rsidTr="00276672">
        <w:trPr>
          <w:trHeight w:val="234"/>
        </w:trPr>
        <w:tc>
          <w:tcPr>
            <w:tcW w:w="2093" w:type="pct"/>
            <w:noWrap/>
            <w:vAlign w:val="center"/>
            <w:hideMark/>
          </w:tcPr>
          <w:p w14:paraId="3824728A" w14:textId="318A1799" w:rsidR="000C233A" w:rsidRPr="000C233A" w:rsidRDefault="000C233A" w:rsidP="00276672">
            <w:pPr>
              <w:jc w:val="center"/>
            </w:pPr>
            <w:r>
              <w:rPr>
                <w:rFonts w:ascii="Calibri" w:hAnsi="Calibri"/>
                <w:color w:val="000000"/>
                <w:sz w:val="22"/>
                <w:szCs w:val="22"/>
              </w:rPr>
              <w:t>RR2</w:t>
            </w:r>
          </w:p>
        </w:tc>
        <w:tc>
          <w:tcPr>
            <w:tcW w:w="988" w:type="pct"/>
            <w:noWrap/>
            <w:vAlign w:val="center"/>
            <w:hideMark/>
          </w:tcPr>
          <w:p w14:paraId="694AFBA3" w14:textId="43C90C0D" w:rsidR="000C233A" w:rsidRPr="000C233A" w:rsidRDefault="000C233A" w:rsidP="00276672">
            <w:pPr>
              <w:jc w:val="center"/>
            </w:pPr>
            <w:r>
              <w:rPr>
                <w:rFonts w:ascii="Calibri" w:hAnsi="Calibri"/>
                <w:color w:val="000000"/>
                <w:sz w:val="22"/>
                <w:szCs w:val="22"/>
              </w:rPr>
              <w:t>4</w:t>
            </w:r>
          </w:p>
        </w:tc>
        <w:tc>
          <w:tcPr>
            <w:tcW w:w="1919" w:type="pct"/>
            <w:noWrap/>
            <w:vAlign w:val="center"/>
            <w:hideMark/>
          </w:tcPr>
          <w:p w14:paraId="375DE7C5" w14:textId="5F65BC7D" w:rsidR="000C233A" w:rsidRPr="000C233A" w:rsidRDefault="000C233A" w:rsidP="00276672">
            <w:pPr>
              <w:jc w:val="center"/>
            </w:pPr>
            <w:r>
              <w:rPr>
                <w:rFonts w:ascii="Calibri" w:hAnsi="Calibri"/>
                <w:color w:val="000000"/>
                <w:sz w:val="22"/>
                <w:szCs w:val="22"/>
              </w:rPr>
              <w:t>0.30</w:t>
            </w:r>
          </w:p>
        </w:tc>
      </w:tr>
      <w:tr w:rsidR="000C233A" w:rsidRPr="000C233A" w14:paraId="31E7189B" w14:textId="77777777" w:rsidTr="00276672">
        <w:trPr>
          <w:trHeight w:val="234"/>
        </w:trPr>
        <w:tc>
          <w:tcPr>
            <w:tcW w:w="2093" w:type="pct"/>
            <w:shd w:val="clear" w:color="auto" w:fill="A5A5A5" w:themeFill="accent3"/>
            <w:noWrap/>
            <w:vAlign w:val="center"/>
            <w:hideMark/>
          </w:tcPr>
          <w:p w14:paraId="69C35F3C" w14:textId="6D48BB2F" w:rsidR="000C233A" w:rsidRPr="000C233A" w:rsidRDefault="000C233A" w:rsidP="00276672">
            <w:pPr>
              <w:jc w:val="center"/>
            </w:pPr>
            <w:r>
              <w:rPr>
                <w:rFonts w:ascii="Calibri" w:hAnsi="Calibri"/>
                <w:color w:val="000000"/>
                <w:sz w:val="22"/>
                <w:szCs w:val="22"/>
              </w:rPr>
              <w:lastRenderedPageBreak/>
              <w:t>RR3</w:t>
            </w:r>
          </w:p>
        </w:tc>
        <w:tc>
          <w:tcPr>
            <w:tcW w:w="988" w:type="pct"/>
            <w:shd w:val="clear" w:color="auto" w:fill="A5A5A5" w:themeFill="accent3"/>
            <w:noWrap/>
            <w:vAlign w:val="center"/>
            <w:hideMark/>
          </w:tcPr>
          <w:p w14:paraId="07296DE5" w14:textId="7095A2AD" w:rsidR="000C233A" w:rsidRPr="000C233A" w:rsidRDefault="000C233A" w:rsidP="00276672">
            <w:pPr>
              <w:jc w:val="center"/>
            </w:pPr>
            <w:r>
              <w:rPr>
                <w:rFonts w:ascii="Calibri" w:hAnsi="Calibri"/>
                <w:color w:val="000000"/>
                <w:sz w:val="22"/>
                <w:szCs w:val="22"/>
              </w:rPr>
              <w:t>2</w:t>
            </w:r>
          </w:p>
        </w:tc>
        <w:tc>
          <w:tcPr>
            <w:tcW w:w="1919" w:type="pct"/>
            <w:shd w:val="clear" w:color="auto" w:fill="A5A5A5" w:themeFill="accent3"/>
            <w:noWrap/>
            <w:vAlign w:val="center"/>
            <w:hideMark/>
          </w:tcPr>
          <w:p w14:paraId="70C0DCE4" w14:textId="23281EE8" w:rsidR="000C233A" w:rsidRPr="000C233A" w:rsidRDefault="000C233A" w:rsidP="00276672">
            <w:pPr>
              <w:jc w:val="center"/>
            </w:pPr>
            <w:r>
              <w:rPr>
                <w:rFonts w:ascii="Calibri" w:hAnsi="Calibri"/>
                <w:color w:val="000000"/>
                <w:sz w:val="22"/>
                <w:szCs w:val="22"/>
              </w:rPr>
              <w:t>0.53</w:t>
            </w:r>
          </w:p>
        </w:tc>
      </w:tr>
      <w:tr w:rsidR="000C233A" w:rsidRPr="000C233A" w14:paraId="4B7ACADD" w14:textId="77777777" w:rsidTr="00276672">
        <w:trPr>
          <w:trHeight w:val="234"/>
        </w:trPr>
        <w:tc>
          <w:tcPr>
            <w:tcW w:w="2093" w:type="pct"/>
            <w:noWrap/>
            <w:vAlign w:val="center"/>
            <w:hideMark/>
          </w:tcPr>
          <w:p w14:paraId="09A7C868" w14:textId="246C6DFC" w:rsidR="000C233A" w:rsidRPr="000C233A" w:rsidRDefault="000C233A" w:rsidP="00276672">
            <w:pPr>
              <w:jc w:val="center"/>
            </w:pPr>
            <w:r>
              <w:rPr>
                <w:rFonts w:ascii="Calibri" w:hAnsi="Calibri"/>
                <w:color w:val="000000"/>
                <w:sz w:val="22"/>
                <w:szCs w:val="22"/>
              </w:rPr>
              <w:t>RR3</w:t>
            </w:r>
          </w:p>
        </w:tc>
        <w:tc>
          <w:tcPr>
            <w:tcW w:w="988" w:type="pct"/>
            <w:noWrap/>
            <w:vAlign w:val="center"/>
            <w:hideMark/>
          </w:tcPr>
          <w:p w14:paraId="04BFE5F2" w14:textId="733A2141" w:rsidR="000C233A" w:rsidRPr="000C233A" w:rsidRDefault="000C233A" w:rsidP="00276672">
            <w:pPr>
              <w:jc w:val="center"/>
            </w:pPr>
            <w:r>
              <w:rPr>
                <w:rFonts w:ascii="Calibri" w:hAnsi="Calibri"/>
                <w:color w:val="000000"/>
                <w:sz w:val="22"/>
                <w:szCs w:val="22"/>
              </w:rPr>
              <w:t>3</w:t>
            </w:r>
          </w:p>
        </w:tc>
        <w:tc>
          <w:tcPr>
            <w:tcW w:w="1919" w:type="pct"/>
            <w:noWrap/>
            <w:vAlign w:val="center"/>
            <w:hideMark/>
          </w:tcPr>
          <w:p w14:paraId="61CB3345" w14:textId="2D1DE541" w:rsidR="000C233A" w:rsidRPr="000C233A" w:rsidRDefault="000C233A" w:rsidP="00276672">
            <w:pPr>
              <w:jc w:val="center"/>
            </w:pPr>
            <w:r>
              <w:rPr>
                <w:rFonts w:ascii="Calibri" w:hAnsi="Calibri"/>
                <w:color w:val="000000"/>
                <w:sz w:val="22"/>
                <w:szCs w:val="22"/>
              </w:rPr>
              <w:t>0.47</w:t>
            </w:r>
          </w:p>
        </w:tc>
      </w:tr>
      <w:tr w:rsidR="000C233A" w:rsidRPr="000C233A" w14:paraId="3D8BCEDF" w14:textId="77777777" w:rsidTr="00276672">
        <w:trPr>
          <w:trHeight w:val="234"/>
        </w:trPr>
        <w:tc>
          <w:tcPr>
            <w:tcW w:w="2093" w:type="pct"/>
            <w:noWrap/>
            <w:vAlign w:val="center"/>
            <w:hideMark/>
          </w:tcPr>
          <w:p w14:paraId="40C5503C" w14:textId="2310C0CD" w:rsidR="000C233A" w:rsidRPr="000C233A" w:rsidRDefault="000C233A" w:rsidP="00276672">
            <w:pPr>
              <w:jc w:val="center"/>
            </w:pPr>
            <w:r>
              <w:rPr>
                <w:rFonts w:ascii="Calibri" w:hAnsi="Calibri"/>
                <w:color w:val="000000"/>
                <w:sz w:val="22"/>
                <w:szCs w:val="22"/>
              </w:rPr>
              <w:t>RR4</w:t>
            </w:r>
          </w:p>
        </w:tc>
        <w:tc>
          <w:tcPr>
            <w:tcW w:w="988" w:type="pct"/>
            <w:noWrap/>
            <w:vAlign w:val="center"/>
            <w:hideMark/>
          </w:tcPr>
          <w:p w14:paraId="6CA3E05E" w14:textId="15D62BE1" w:rsidR="000C233A" w:rsidRPr="000C233A" w:rsidRDefault="000C233A" w:rsidP="00276672">
            <w:pPr>
              <w:jc w:val="center"/>
            </w:pPr>
            <w:r>
              <w:rPr>
                <w:rFonts w:ascii="Calibri" w:hAnsi="Calibri"/>
                <w:color w:val="000000"/>
                <w:sz w:val="22"/>
                <w:szCs w:val="22"/>
              </w:rPr>
              <w:t>10</w:t>
            </w:r>
          </w:p>
        </w:tc>
        <w:tc>
          <w:tcPr>
            <w:tcW w:w="1919" w:type="pct"/>
            <w:noWrap/>
            <w:vAlign w:val="center"/>
            <w:hideMark/>
          </w:tcPr>
          <w:p w14:paraId="51C995FC" w14:textId="0922A55A" w:rsidR="000C233A" w:rsidRPr="000C233A" w:rsidRDefault="000C233A" w:rsidP="00276672">
            <w:pPr>
              <w:jc w:val="center"/>
            </w:pPr>
            <w:r>
              <w:rPr>
                <w:rFonts w:ascii="Calibri" w:hAnsi="Calibri"/>
                <w:color w:val="000000"/>
                <w:sz w:val="22"/>
                <w:szCs w:val="22"/>
              </w:rPr>
              <w:t>0.29</w:t>
            </w:r>
          </w:p>
        </w:tc>
      </w:tr>
      <w:tr w:rsidR="000C233A" w:rsidRPr="000C233A" w14:paraId="4C6D31E5" w14:textId="77777777" w:rsidTr="00276672">
        <w:trPr>
          <w:trHeight w:val="234"/>
        </w:trPr>
        <w:tc>
          <w:tcPr>
            <w:tcW w:w="2093" w:type="pct"/>
            <w:noWrap/>
            <w:vAlign w:val="center"/>
            <w:hideMark/>
          </w:tcPr>
          <w:p w14:paraId="378C1130" w14:textId="33C0CF61" w:rsidR="000C233A" w:rsidRPr="000C233A" w:rsidRDefault="000C233A" w:rsidP="00276672">
            <w:pPr>
              <w:jc w:val="center"/>
            </w:pPr>
            <w:r>
              <w:rPr>
                <w:rFonts w:ascii="Calibri" w:hAnsi="Calibri"/>
                <w:color w:val="000000"/>
                <w:sz w:val="22"/>
                <w:szCs w:val="22"/>
              </w:rPr>
              <w:t>RR4</w:t>
            </w:r>
          </w:p>
        </w:tc>
        <w:tc>
          <w:tcPr>
            <w:tcW w:w="988" w:type="pct"/>
            <w:noWrap/>
            <w:vAlign w:val="center"/>
            <w:hideMark/>
          </w:tcPr>
          <w:p w14:paraId="137C1F8E" w14:textId="6EEAA5F4" w:rsidR="000C233A" w:rsidRPr="000C233A" w:rsidRDefault="000C233A" w:rsidP="00276672">
            <w:pPr>
              <w:jc w:val="center"/>
            </w:pPr>
            <w:r>
              <w:rPr>
                <w:rFonts w:ascii="Calibri" w:hAnsi="Calibri"/>
                <w:color w:val="000000"/>
                <w:sz w:val="22"/>
                <w:szCs w:val="22"/>
              </w:rPr>
              <w:t>12</w:t>
            </w:r>
          </w:p>
        </w:tc>
        <w:tc>
          <w:tcPr>
            <w:tcW w:w="1919" w:type="pct"/>
            <w:noWrap/>
            <w:vAlign w:val="center"/>
            <w:hideMark/>
          </w:tcPr>
          <w:p w14:paraId="39B76A13" w14:textId="4C67441A" w:rsidR="000C233A" w:rsidRPr="000C233A" w:rsidRDefault="000C233A" w:rsidP="00276672">
            <w:pPr>
              <w:jc w:val="center"/>
            </w:pPr>
            <w:r>
              <w:rPr>
                <w:rFonts w:ascii="Calibri" w:hAnsi="Calibri"/>
                <w:color w:val="000000"/>
                <w:sz w:val="22"/>
                <w:szCs w:val="22"/>
              </w:rPr>
              <w:t>0.29</w:t>
            </w:r>
          </w:p>
        </w:tc>
      </w:tr>
      <w:tr w:rsidR="000C233A" w:rsidRPr="000C233A" w14:paraId="66F908EE" w14:textId="77777777" w:rsidTr="00276672">
        <w:trPr>
          <w:trHeight w:val="234"/>
        </w:trPr>
        <w:tc>
          <w:tcPr>
            <w:tcW w:w="2093" w:type="pct"/>
            <w:noWrap/>
            <w:vAlign w:val="center"/>
            <w:hideMark/>
          </w:tcPr>
          <w:p w14:paraId="141FF39D" w14:textId="65000FF9" w:rsidR="000C233A" w:rsidRPr="000C233A" w:rsidRDefault="000C233A" w:rsidP="00276672">
            <w:pPr>
              <w:jc w:val="center"/>
            </w:pPr>
            <w:r>
              <w:rPr>
                <w:rFonts w:ascii="Calibri" w:hAnsi="Calibri"/>
                <w:color w:val="000000"/>
                <w:sz w:val="22"/>
                <w:szCs w:val="22"/>
              </w:rPr>
              <w:t>RR4</w:t>
            </w:r>
          </w:p>
        </w:tc>
        <w:tc>
          <w:tcPr>
            <w:tcW w:w="988" w:type="pct"/>
            <w:noWrap/>
            <w:vAlign w:val="center"/>
            <w:hideMark/>
          </w:tcPr>
          <w:p w14:paraId="28D18436" w14:textId="77E89B90" w:rsidR="000C233A" w:rsidRPr="000C233A" w:rsidRDefault="000C233A" w:rsidP="00276672">
            <w:pPr>
              <w:jc w:val="center"/>
            </w:pPr>
            <w:r>
              <w:rPr>
                <w:rFonts w:ascii="Calibri" w:hAnsi="Calibri"/>
                <w:color w:val="000000"/>
                <w:sz w:val="22"/>
                <w:szCs w:val="22"/>
              </w:rPr>
              <w:t>15</w:t>
            </w:r>
          </w:p>
        </w:tc>
        <w:tc>
          <w:tcPr>
            <w:tcW w:w="1919" w:type="pct"/>
            <w:noWrap/>
            <w:vAlign w:val="center"/>
            <w:hideMark/>
          </w:tcPr>
          <w:p w14:paraId="29276276" w14:textId="605766C3" w:rsidR="000C233A" w:rsidRPr="000C233A" w:rsidRDefault="000C233A" w:rsidP="00276672">
            <w:pPr>
              <w:jc w:val="center"/>
            </w:pPr>
            <w:r>
              <w:rPr>
                <w:rFonts w:ascii="Calibri" w:hAnsi="Calibri"/>
                <w:color w:val="000000"/>
                <w:sz w:val="22"/>
                <w:szCs w:val="22"/>
              </w:rPr>
              <w:t>0.28</w:t>
            </w:r>
          </w:p>
        </w:tc>
      </w:tr>
      <w:tr w:rsidR="000C233A" w:rsidRPr="000C233A" w14:paraId="09CD96FF" w14:textId="77777777" w:rsidTr="00276672">
        <w:trPr>
          <w:trHeight w:val="234"/>
        </w:trPr>
        <w:tc>
          <w:tcPr>
            <w:tcW w:w="2093" w:type="pct"/>
            <w:noWrap/>
            <w:vAlign w:val="center"/>
            <w:hideMark/>
          </w:tcPr>
          <w:p w14:paraId="7AD877E9" w14:textId="7F728913" w:rsidR="000C233A" w:rsidRPr="000C233A" w:rsidRDefault="000C233A" w:rsidP="00276672">
            <w:pPr>
              <w:jc w:val="center"/>
            </w:pPr>
            <w:r>
              <w:rPr>
                <w:rFonts w:ascii="Calibri" w:hAnsi="Calibri"/>
                <w:color w:val="000000"/>
                <w:sz w:val="22"/>
                <w:szCs w:val="22"/>
              </w:rPr>
              <w:t>RR4</w:t>
            </w:r>
          </w:p>
        </w:tc>
        <w:tc>
          <w:tcPr>
            <w:tcW w:w="988" w:type="pct"/>
            <w:noWrap/>
            <w:vAlign w:val="center"/>
            <w:hideMark/>
          </w:tcPr>
          <w:p w14:paraId="5D7D2399" w14:textId="207D2A98" w:rsidR="000C233A" w:rsidRPr="000C233A" w:rsidRDefault="000C233A" w:rsidP="00276672">
            <w:pPr>
              <w:jc w:val="center"/>
            </w:pPr>
            <w:r>
              <w:rPr>
                <w:rFonts w:ascii="Calibri" w:hAnsi="Calibri"/>
                <w:color w:val="000000"/>
                <w:sz w:val="22"/>
                <w:szCs w:val="22"/>
              </w:rPr>
              <w:t>11</w:t>
            </w:r>
          </w:p>
        </w:tc>
        <w:tc>
          <w:tcPr>
            <w:tcW w:w="1919" w:type="pct"/>
            <w:noWrap/>
            <w:vAlign w:val="center"/>
            <w:hideMark/>
          </w:tcPr>
          <w:p w14:paraId="586084A5" w14:textId="2703E034" w:rsidR="000C233A" w:rsidRPr="000C233A" w:rsidRDefault="000C233A" w:rsidP="00276672">
            <w:pPr>
              <w:jc w:val="center"/>
            </w:pPr>
            <w:r>
              <w:rPr>
                <w:rFonts w:ascii="Calibri" w:hAnsi="Calibri"/>
                <w:color w:val="000000"/>
                <w:sz w:val="22"/>
                <w:szCs w:val="22"/>
              </w:rPr>
              <w:t>0.12</w:t>
            </w:r>
          </w:p>
        </w:tc>
      </w:tr>
      <w:tr w:rsidR="000C233A" w:rsidRPr="000C233A" w14:paraId="11DA9F87" w14:textId="77777777" w:rsidTr="00276672">
        <w:trPr>
          <w:trHeight w:val="234"/>
        </w:trPr>
        <w:tc>
          <w:tcPr>
            <w:tcW w:w="2093" w:type="pct"/>
            <w:noWrap/>
            <w:vAlign w:val="center"/>
            <w:hideMark/>
          </w:tcPr>
          <w:p w14:paraId="2F265B14" w14:textId="1D9F8BCF" w:rsidR="000C233A" w:rsidRPr="000C233A" w:rsidRDefault="000C233A" w:rsidP="00276672">
            <w:pPr>
              <w:jc w:val="center"/>
            </w:pPr>
            <w:r>
              <w:rPr>
                <w:rFonts w:ascii="Calibri" w:hAnsi="Calibri"/>
                <w:color w:val="000000"/>
                <w:sz w:val="22"/>
                <w:szCs w:val="22"/>
              </w:rPr>
              <w:t>RR4</w:t>
            </w:r>
          </w:p>
        </w:tc>
        <w:tc>
          <w:tcPr>
            <w:tcW w:w="988" w:type="pct"/>
            <w:noWrap/>
            <w:vAlign w:val="center"/>
            <w:hideMark/>
          </w:tcPr>
          <w:p w14:paraId="6D80C8B5" w14:textId="3C7768C4" w:rsidR="000C233A" w:rsidRPr="000C233A" w:rsidRDefault="000C233A" w:rsidP="00276672">
            <w:pPr>
              <w:jc w:val="center"/>
            </w:pPr>
            <w:r>
              <w:rPr>
                <w:rFonts w:ascii="Calibri" w:hAnsi="Calibri"/>
                <w:color w:val="000000"/>
                <w:sz w:val="22"/>
                <w:szCs w:val="22"/>
              </w:rPr>
              <w:t>14</w:t>
            </w:r>
          </w:p>
        </w:tc>
        <w:tc>
          <w:tcPr>
            <w:tcW w:w="1919" w:type="pct"/>
            <w:noWrap/>
            <w:vAlign w:val="center"/>
            <w:hideMark/>
          </w:tcPr>
          <w:p w14:paraId="5B63770A" w14:textId="39B7C9C2" w:rsidR="000C233A" w:rsidRPr="000C233A" w:rsidRDefault="000C233A" w:rsidP="00276672">
            <w:pPr>
              <w:jc w:val="center"/>
            </w:pPr>
            <w:r>
              <w:rPr>
                <w:rFonts w:ascii="Calibri" w:hAnsi="Calibri"/>
                <w:color w:val="000000"/>
                <w:sz w:val="22"/>
                <w:szCs w:val="22"/>
              </w:rPr>
              <w:t>0.02</w:t>
            </w:r>
          </w:p>
        </w:tc>
      </w:tr>
      <w:tr w:rsidR="000C233A" w:rsidRPr="000C233A" w14:paraId="2052B04D" w14:textId="77777777" w:rsidTr="00276672">
        <w:trPr>
          <w:trHeight w:val="234"/>
        </w:trPr>
        <w:tc>
          <w:tcPr>
            <w:tcW w:w="2093" w:type="pct"/>
            <w:shd w:val="clear" w:color="auto" w:fill="A5A5A5" w:themeFill="accent3"/>
            <w:noWrap/>
            <w:vAlign w:val="center"/>
            <w:hideMark/>
          </w:tcPr>
          <w:p w14:paraId="0B26B498" w14:textId="28EB2F29" w:rsidR="000C233A" w:rsidRPr="000C233A" w:rsidRDefault="000C233A" w:rsidP="00276672">
            <w:pPr>
              <w:jc w:val="center"/>
            </w:pPr>
            <w:r>
              <w:rPr>
                <w:rFonts w:ascii="Calibri" w:hAnsi="Calibri"/>
                <w:color w:val="000000"/>
                <w:sz w:val="22"/>
                <w:szCs w:val="22"/>
              </w:rPr>
              <w:t>RR5</w:t>
            </w:r>
          </w:p>
        </w:tc>
        <w:tc>
          <w:tcPr>
            <w:tcW w:w="988" w:type="pct"/>
            <w:shd w:val="clear" w:color="auto" w:fill="A5A5A5" w:themeFill="accent3"/>
            <w:noWrap/>
            <w:vAlign w:val="center"/>
            <w:hideMark/>
          </w:tcPr>
          <w:p w14:paraId="66EAE7AF" w14:textId="152F95B5" w:rsidR="000C233A" w:rsidRPr="000C233A" w:rsidRDefault="000C233A" w:rsidP="00276672">
            <w:pPr>
              <w:jc w:val="center"/>
            </w:pPr>
            <w:r>
              <w:rPr>
                <w:rFonts w:ascii="Calibri" w:hAnsi="Calibri"/>
                <w:color w:val="000000"/>
                <w:sz w:val="22"/>
                <w:szCs w:val="22"/>
              </w:rPr>
              <w:t>8</w:t>
            </w:r>
          </w:p>
        </w:tc>
        <w:tc>
          <w:tcPr>
            <w:tcW w:w="1919" w:type="pct"/>
            <w:shd w:val="clear" w:color="auto" w:fill="A5A5A5" w:themeFill="accent3"/>
            <w:noWrap/>
            <w:vAlign w:val="center"/>
            <w:hideMark/>
          </w:tcPr>
          <w:p w14:paraId="473A3D69" w14:textId="15969537" w:rsidR="000C233A" w:rsidRPr="000C233A" w:rsidRDefault="000C233A" w:rsidP="00276672">
            <w:pPr>
              <w:jc w:val="center"/>
            </w:pPr>
            <w:r>
              <w:rPr>
                <w:rFonts w:ascii="Calibri" w:hAnsi="Calibri"/>
                <w:color w:val="000000"/>
                <w:sz w:val="22"/>
                <w:szCs w:val="22"/>
              </w:rPr>
              <w:t>0.70</w:t>
            </w:r>
          </w:p>
        </w:tc>
      </w:tr>
      <w:tr w:rsidR="000C233A" w:rsidRPr="000C233A" w14:paraId="5C1D5094" w14:textId="77777777" w:rsidTr="00276672">
        <w:trPr>
          <w:trHeight w:val="234"/>
        </w:trPr>
        <w:tc>
          <w:tcPr>
            <w:tcW w:w="2093" w:type="pct"/>
            <w:noWrap/>
            <w:vAlign w:val="center"/>
            <w:hideMark/>
          </w:tcPr>
          <w:p w14:paraId="1F423492" w14:textId="568B31E2" w:rsidR="000C233A" w:rsidRPr="000C233A" w:rsidRDefault="000C233A" w:rsidP="00276672">
            <w:pPr>
              <w:jc w:val="center"/>
            </w:pPr>
            <w:r>
              <w:rPr>
                <w:rFonts w:ascii="Calibri" w:hAnsi="Calibri"/>
                <w:color w:val="000000"/>
                <w:sz w:val="22"/>
                <w:szCs w:val="22"/>
              </w:rPr>
              <w:t>RR5</w:t>
            </w:r>
          </w:p>
        </w:tc>
        <w:tc>
          <w:tcPr>
            <w:tcW w:w="988" w:type="pct"/>
            <w:noWrap/>
            <w:vAlign w:val="center"/>
            <w:hideMark/>
          </w:tcPr>
          <w:p w14:paraId="49E77A2A" w14:textId="31F1CA65" w:rsidR="000C233A" w:rsidRPr="000C233A" w:rsidRDefault="000C233A" w:rsidP="00276672">
            <w:pPr>
              <w:jc w:val="center"/>
            </w:pPr>
            <w:r>
              <w:rPr>
                <w:rFonts w:ascii="Calibri" w:hAnsi="Calibri"/>
                <w:color w:val="000000"/>
                <w:sz w:val="22"/>
                <w:szCs w:val="22"/>
              </w:rPr>
              <w:t>16</w:t>
            </w:r>
          </w:p>
        </w:tc>
        <w:tc>
          <w:tcPr>
            <w:tcW w:w="1919" w:type="pct"/>
            <w:noWrap/>
            <w:vAlign w:val="center"/>
            <w:hideMark/>
          </w:tcPr>
          <w:p w14:paraId="6B349AA3" w14:textId="44AC2569" w:rsidR="000C233A" w:rsidRPr="000C233A" w:rsidRDefault="000C233A" w:rsidP="00276672">
            <w:pPr>
              <w:jc w:val="center"/>
            </w:pPr>
            <w:r>
              <w:rPr>
                <w:rFonts w:ascii="Calibri" w:hAnsi="Calibri"/>
                <w:color w:val="000000"/>
                <w:sz w:val="22"/>
                <w:szCs w:val="22"/>
              </w:rPr>
              <w:t>0.30</w:t>
            </w:r>
          </w:p>
        </w:tc>
      </w:tr>
    </w:tbl>
    <w:p w14:paraId="6D0EA961" w14:textId="77777777" w:rsidR="00DE7AE4" w:rsidRDefault="00DE7AE4"/>
    <w:p w14:paraId="131B6984" w14:textId="4FABF6FB" w:rsidR="00276672" w:rsidRDefault="00276672" w:rsidP="00276672">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xml:space="preserve"> </w:t>
      </w:r>
      <w:r w:rsidRPr="00FC4E9B">
        <w:t xml:space="preserve">Market share of each hospital based on </w:t>
      </w:r>
      <w:r>
        <w:t>charges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2"/>
        <w:gridCol w:w="1790"/>
        <w:gridCol w:w="3598"/>
      </w:tblGrid>
      <w:tr w:rsidR="00276672" w:rsidRPr="000C233A" w14:paraId="1039579E" w14:textId="77777777" w:rsidTr="00276672">
        <w:trPr>
          <w:trHeight w:val="280"/>
        </w:trPr>
        <w:tc>
          <w:tcPr>
            <w:tcW w:w="2122" w:type="pct"/>
            <w:tcBorders>
              <w:top w:val="single" w:sz="4" w:space="0" w:color="auto"/>
              <w:bottom w:val="single" w:sz="4" w:space="0" w:color="auto"/>
            </w:tcBorders>
            <w:noWrap/>
            <w:vAlign w:val="center"/>
            <w:hideMark/>
          </w:tcPr>
          <w:p w14:paraId="6E378D79" w14:textId="77777777" w:rsidR="000C233A" w:rsidRPr="000C233A" w:rsidRDefault="000C233A" w:rsidP="00276672">
            <w:pPr>
              <w:jc w:val="center"/>
              <w:rPr>
                <w:b/>
                <w:bCs/>
              </w:rPr>
            </w:pPr>
            <w:r w:rsidRPr="000C233A">
              <w:rPr>
                <w:b/>
                <w:bCs/>
              </w:rPr>
              <w:t>RR</w:t>
            </w:r>
          </w:p>
        </w:tc>
        <w:tc>
          <w:tcPr>
            <w:tcW w:w="956" w:type="pct"/>
            <w:tcBorders>
              <w:top w:val="single" w:sz="4" w:space="0" w:color="auto"/>
              <w:bottom w:val="single" w:sz="4" w:space="0" w:color="auto"/>
            </w:tcBorders>
            <w:noWrap/>
            <w:vAlign w:val="center"/>
            <w:hideMark/>
          </w:tcPr>
          <w:p w14:paraId="643B48E0" w14:textId="77777777" w:rsidR="000C233A" w:rsidRPr="000C233A" w:rsidRDefault="000C233A" w:rsidP="00276672">
            <w:pPr>
              <w:jc w:val="center"/>
              <w:rPr>
                <w:b/>
                <w:bCs/>
              </w:rPr>
            </w:pPr>
            <w:r w:rsidRPr="000C233A">
              <w:rPr>
                <w:b/>
                <w:bCs/>
              </w:rPr>
              <w:t>hnum2</w:t>
            </w:r>
          </w:p>
        </w:tc>
        <w:tc>
          <w:tcPr>
            <w:tcW w:w="1922" w:type="pct"/>
            <w:tcBorders>
              <w:top w:val="single" w:sz="4" w:space="0" w:color="auto"/>
              <w:bottom w:val="single" w:sz="4" w:space="0" w:color="auto"/>
            </w:tcBorders>
            <w:noWrap/>
            <w:vAlign w:val="center"/>
            <w:hideMark/>
          </w:tcPr>
          <w:p w14:paraId="5167A532" w14:textId="73DB857A" w:rsidR="000C233A" w:rsidRPr="000C233A" w:rsidRDefault="000C233A" w:rsidP="00276672">
            <w:pPr>
              <w:jc w:val="center"/>
              <w:rPr>
                <w:b/>
                <w:bCs/>
              </w:rPr>
            </w:pPr>
            <w:r>
              <w:rPr>
                <w:b/>
                <w:bCs/>
              </w:rPr>
              <w:t>Market share</w:t>
            </w:r>
          </w:p>
        </w:tc>
      </w:tr>
      <w:tr w:rsidR="00276672" w:rsidRPr="000C233A" w14:paraId="309C7379" w14:textId="77777777" w:rsidTr="00276672">
        <w:trPr>
          <w:trHeight w:val="280"/>
        </w:trPr>
        <w:tc>
          <w:tcPr>
            <w:tcW w:w="2122" w:type="pct"/>
            <w:tcBorders>
              <w:top w:val="single" w:sz="4" w:space="0" w:color="auto"/>
            </w:tcBorders>
            <w:shd w:val="clear" w:color="auto" w:fill="A5A5A5" w:themeFill="accent3"/>
            <w:noWrap/>
            <w:vAlign w:val="center"/>
            <w:hideMark/>
          </w:tcPr>
          <w:p w14:paraId="02E303D2" w14:textId="77777777" w:rsidR="000C233A" w:rsidRPr="00276672" w:rsidRDefault="000C233A" w:rsidP="00276672">
            <w:pPr>
              <w:jc w:val="center"/>
              <w:rPr>
                <w:sz w:val="22"/>
                <w:szCs w:val="22"/>
              </w:rPr>
            </w:pPr>
            <w:r w:rsidRPr="00276672">
              <w:rPr>
                <w:sz w:val="22"/>
                <w:szCs w:val="22"/>
              </w:rPr>
              <w:t>RR1</w:t>
            </w:r>
          </w:p>
        </w:tc>
        <w:tc>
          <w:tcPr>
            <w:tcW w:w="956" w:type="pct"/>
            <w:tcBorders>
              <w:top w:val="single" w:sz="4" w:space="0" w:color="auto"/>
            </w:tcBorders>
            <w:shd w:val="clear" w:color="auto" w:fill="A5A5A5" w:themeFill="accent3"/>
            <w:noWrap/>
            <w:vAlign w:val="center"/>
            <w:hideMark/>
          </w:tcPr>
          <w:p w14:paraId="5A164456" w14:textId="77777777" w:rsidR="000C233A" w:rsidRPr="00276672" w:rsidRDefault="000C233A" w:rsidP="00276672">
            <w:pPr>
              <w:jc w:val="center"/>
              <w:rPr>
                <w:sz w:val="22"/>
                <w:szCs w:val="22"/>
              </w:rPr>
            </w:pPr>
            <w:r w:rsidRPr="00276672">
              <w:rPr>
                <w:sz w:val="22"/>
                <w:szCs w:val="22"/>
              </w:rPr>
              <w:t>5</w:t>
            </w:r>
          </w:p>
        </w:tc>
        <w:tc>
          <w:tcPr>
            <w:tcW w:w="1922" w:type="pct"/>
            <w:tcBorders>
              <w:top w:val="single" w:sz="4" w:space="0" w:color="auto"/>
            </w:tcBorders>
            <w:shd w:val="clear" w:color="auto" w:fill="A5A5A5" w:themeFill="accent3"/>
            <w:noWrap/>
            <w:vAlign w:val="center"/>
            <w:hideMark/>
          </w:tcPr>
          <w:p w14:paraId="2348882A" w14:textId="77777777" w:rsidR="000C233A" w:rsidRPr="00276672" w:rsidRDefault="000C233A" w:rsidP="00276672">
            <w:pPr>
              <w:jc w:val="center"/>
              <w:rPr>
                <w:sz w:val="22"/>
                <w:szCs w:val="22"/>
              </w:rPr>
            </w:pPr>
            <w:r w:rsidRPr="00276672">
              <w:rPr>
                <w:sz w:val="22"/>
                <w:szCs w:val="22"/>
              </w:rPr>
              <w:t>0.89</w:t>
            </w:r>
          </w:p>
        </w:tc>
      </w:tr>
      <w:tr w:rsidR="00276672" w:rsidRPr="000C233A" w14:paraId="79ABB6C7" w14:textId="77777777" w:rsidTr="00276672">
        <w:trPr>
          <w:trHeight w:val="280"/>
        </w:trPr>
        <w:tc>
          <w:tcPr>
            <w:tcW w:w="2122" w:type="pct"/>
            <w:noWrap/>
            <w:vAlign w:val="center"/>
            <w:hideMark/>
          </w:tcPr>
          <w:p w14:paraId="7D06B5FB" w14:textId="77777777" w:rsidR="000C233A" w:rsidRPr="00276672" w:rsidRDefault="000C233A" w:rsidP="00276672">
            <w:pPr>
              <w:jc w:val="center"/>
              <w:rPr>
                <w:sz w:val="22"/>
                <w:szCs w:val="22"/>
              </w:rPr>
            </w:pPr>
            <w:r w:rsidRPr="00276672">
              <w:rPr>
                <w:sz w:val="22"/>
                <w:szCs w:val="22"/>
              </w:rPr>
              <w:t>RR1</w:t>
            </w:r>
          </w:p>
        </w:tc>
        <w:tc>
          <w:tcPr>
            <w:tcW w:w="956" w:type="pct"/>
            <w:noWrap/>
            <w:vAlign w:val="center"/>
            <w:hideMark/>
          </w:tcPr>
          <w:p w14:paraId="058053E6" w14:textId="77777777" w:rsidR="000C233A" w:rsidRPr="00276672" w:rsidRDefault="000C233A" w:rsidP="00276672">
            <w:pPr>
              <w:jc w:val="center"/>
              <w:rPr>
                <w:sz w:val="22"/>
                <w:szCs w:val="22"/>
              </w:rPr>
            </w:pPr>
            <w:r w:rsidRPr="00276672">
              <w:rPr>
                <w:sz w:val="22"/>
                <w:szCs w:val="22"/>
              </w:rPr>
              <w:t>1</w:t>
            </w:r>
          </w:p>
        </w:tc>
        <w:tc>
          <w:tcPr>
            <w:tcW w:w="1922" w:type="pct"/>
            <w:noWrap/>
            <w:vAlign w:val="center"/>
            <w:hideMark/>
          </w:tcPr>
          <w:p w14:paraId="271F5FD2" w14:textId="77777777" w:rsidR="000C233A" w:rsidRPr="00276672" w:rsidRDefault="000C233A" w:rsidP="00276672">
            <w:pPr>
              <w:jc w:val="center"/>
              <w:rPr>
                <w:sz w:val="22"/>
                <w:szCs w:val="22"/>
              </w:rPr>
            </w:pPr>
            <w:r w:rsidRPr="00276672">
              <w:rPr>
                <w:sz w:val="22"/>
                <w:szCs w:val="22"/>
              </w:rPr>
              <w:t>0.06</w:t>
            </w:r>
          </w:p>
        </w:tc>
      </w:tr>
      <w:tr w:rsidR="00276672" w:rsidRPr="000C233A" w14:paraId="56CF4716" w14:textId="77777777" w:rsidTr="00276672">
        <w:trPr>
          <w:trHeight w:val="280"/>
        </w:trPr>
        <w:tc>
          <w:tcPr>
            <w:tcW w:w="2122" w:type="pct"/>
            <w:noWrap/>
            <w:vAlign w:val="center"/>
            <w:hideMark/>
          </w:tcPr>
          <w:p w14:paraId="4B8FF909" w14:textId="77777777" w:rsidR="000C233A" w:rsidRPr="00276672" w:rsidRDefault="000C233A" w:rsidP="00276672">
            <w:pPr>
              <w:jc w:val="center"/>
              <w:rPr>
                <w:sz w:val="22"/>
                <w:szCs w:val="22"/>
              </w:rPr>
            </w:pPr>
            <w:r w:rsidRPr="00276672">
              <w:rPr>
                <w:sz w:val="22"/>
                <w:szCs w:val="22"/>
              </w:rPr>
              <w:t>RR1</w:t>
            </w:r>
          </w:p>
        </w:tc>
        <w:tc>
          <w:tcPr>
            <w:tcW w:w="956" w:type="pct"/>
            <w:noWrap/>
            <w:vAlign w:val="center"/>
            <w:hideMark/>
          </w:tcPr>
          <w:p w14:paraId="6D51BB23" w14:textId="77777777" w:rsidR="000C233A" w:rsidRPr="00276672" w:rsidRDefault="000C233A" w:rsidP="00276672">
            <w:pPr>
              <w:jc w:val="center"/>
              <w:rPr>
                <w:sz w:val="22"/>
                <w:szCs w:val="22"/>
              </w:rPr>
            </w:pPr>
            <w:r w:rsidRPr="00276672">
              <w:rPr>
                <w:sz w:val="22"/>
                <w:szCs w:val="22"/>
              </w:rPr>
              <w:t>9</w:t>
            </w:r>
          </w:p>
        </w:tc>
        <w:tc>
          <w:tcPr>
            <w:tcW w:w="1922" w:type="pct"/>
            <w:noWrap/>
            <w:vAlign w:val="center"/>
            <w:hideMark/>
          </w:tcPr>
          <w:p w14:paraId="73852AFE" w14:textId="77777777" w:rsidR="000C233A" w:rsidRPr="00276672" w:rsidRDefault="000C233A" w:rsidP="00276672">
            <w:pPr>
              <w:jc w:val="center"/>
              <w:rPr>
                <w:sz w:val="22"/>
                <w:szCs w:val="22"/>
              </w:rPr>
            </w:pPr>
            <w:r w:rsidRPr="00276672">
              <w:rPr>
                <w:sz w:val="22"/>
                <w:szCs w:val="22"/>
              </w:rPr>
              <w:t>0.05</w:t>
            </w:r>
          </w:p>
        </w:tc>
      </w:tr>
      <w:tr w:rsidR="00276672" w:rsidRPr="000C233A" w14:paraId="79D22A7D" w14:textId="77777777" w:rsidTr="00276672">
        <w:trPr>
          <w:trHeight w:val="280"/>
        </w:trPr>
        <w:tc>
          <w:tcPr>
            <w:tcW w:w="2122" w:type="pct"/>
            <w:shd w:val="clear" w:color="auto" w:fill="A5A5A5" w:themeFill="accent3"/>
            <w:noWrap/>
            <w:vAlign w:val="center"/>
            <w:hideMark/>
          </w:tcPr>
          <w:p w14:paraId="68E6F7B9" w14:textId="77777777" w:rsidR="000C233A" w:rsidRPr="00276672" w:rsidRDefault="000C233A" w:rsidP="00276672">
            <w:pPr>
              <w:jc w:val="center"/>
              <w:rPr>
                <w:sz w:val="22"/>
                <w:szCs w:val="22"/>
              </w:rPr>
            </w:pPr>
            <w:r w:rsidRPr="00276672">
              <w:rPr>
                <w:sz w:val="22"/>
                <w:szCs w:val="22"/>
              </w:rPr>
              <w:t>RR2</w:t>
            </w:r>
          </w:p>
        </w:tc>
        <w:tc>
          <w:tcPr>
            <w:tcW w:w="956" w:type="pct"/>
            <w:shd w:val="clear" w:color="auto" w:fill="A5A5A5" w:themeFill="accent3"/>
            <w:noWrap/>
            <w:vAlign w:val="center"/>
            <w:hideMark/>
          </w:tcPr>
          <w:p w14:paraId="7FBA6126" w14:textId="77777777" w:rsidR="000C233A" w:rsidRPr="00276672" w:rsidRDefault="000C233A" w:rsidP="00276672">
            <w:pPr>
              <w:jc w:val="center"/>
              <w:rPr>
                <w:sz w:val="22"/>
                <w:szCs w:val="22"/>
              </w:rPr>
            </w:pPr>
            <w:r w:rsidRPr="00276672">
              <w:rPr>
                <w:sz w:val="22"/>
                <w:szCs w:val="22"/>
              </w:rPr>
              <w:t>6</w:t>
            </w:r>
          </w:p>
        </w:tc>
        <w:tc>
          <w:tcPr>
            <w:tcW w:w="1922" w:type="pct"/>
            <w:shd w:val="clear" w:color="auto" w:fill="A5A5A5" w:themeFill="accent3"/>
            <w:noWrap/>
            <w:vAlign w:val="center"/>
            <w:hideMark/>
          </w:tcPr>
          <w:p w14:paraId="2C2DF30E" w14:textId="77777777" w:rsidR="000C233A" w:rsidRPr="00276672" w:rsidRDefault="000C233A" w:rsidP="00276672">
            <w:pPr>
              <w:jc w:val="center"/>
              <w:rPr>
                <w:sz w:val="22"/>
                <w:szCs w:val="22"/>
              </w:rPr>
            </w:pPr>
            <w:r w:rsidRPr="00276672">
              <w:rPr>
                <w:sz w:val="22"/>
                <w:szCs w:val="22"/>
              </w:rPr>
              <w:t>0.72</w:t>
            </w:r>
          </w:p>
        </w:tc>
      </w:tr>
      <w:tr w:rsidR="00276672" w:rsidRPr="000C233A" w14:paraId="40F6A62C" w14:textId="77777777" w:rsidTr="00276672">
        <w:trPr>
          <w:trHeight w:val="280"/>
        </w:trPr>
        <w:tc>
          <w:tcPr>
            <w:tcW w:w="2122" w:type="pct"/>
            <w:noWrap/>
            <w:vAlign w:val="center"/>
            <w:hideMark/>
          </w:tcPr>
          <w:p w14:paraId="0EB4E56A" w14:textId="77777777" w:rsidR="000C233A" w:rsidRPr="00276672" w:rsidRDefault="000C233A" w:rsidP="00276672">
            <w:pPr>
              <w:jc w:val="center"/>
              <w:rPr>
                <w:sz w:val="22"/>
                <w:szCs w:val="22"/>
              </w:rPr>
            </w:pPr>
            <w:r w:rsidRPr="00276672">
              <w:rPr>
                <w:sz w:val="22"/>
                <w:szCs w:val="22"/>
              </w:rPr>
              <w:t>RR2</w:t>
            </w:r>
          </w:p>
        </w:tc>
        <w:tc>
          <w:tcPr>
            <w:tcW w:w="956" w:type="pct"/>
            <w:noWrap/>
            <w:vAlign w:val="center"/>
            <w:hideMark/>
          </w:tcPr>
          <w:p w14:paraId="4CD1CB7B" w14:textId="77777777" w:rsidR="000C233A" w:rsidRPr="00276672" w:rsidRDefault="000C233A" w:rsidP="00276672">
            <w:pPr>
              <w:jc w:val="center"/>
              <w:rPr>
                <w:sz w:val="22"/>
                <w:szCs w:val="22"/>
              </w:rPr>
            </w:pPr>
            <w:r w:rsidRPr="00276672">
              <w:rPr>
                <w:sz w:val="22"/>
                <w:szCs w:val="22"/>
              </w:rPr>
              <w:t>4</w:t>
            </w:r>
          </w:p>
        </w:tc>
        <w:tc>
          <w:tcPr>
            <w:tcW w:w="1922" w:type="pct"/>
            <w:noWrap/>
            <w:vAlign w:val="center"/>
            <w:hideMark/>
          </w:tcPr>
          <w:p w14:paraId="2777FB76" w14:textId="77777777" w:rsidR="000C233A" w:rsidRPr="00276672" w:rsidRDefault="000C233A" w:rsidP="00276672">
            <w:pPr>
              <w:jc w:val="center"/>
              <w:rPr>
                <w:sz w:val="22"/>
                <w:szCs w:val="22"/>
              </w:rPr>
            </w:pPr>
            <w:r w:rsidRPr="00276672">
              <w:rPr>
                <w:sz w:val="22"/>
                <w:szCs w:val="22"/>
              </w:rPr>
              <w:t>0.28</w:t>
            </w:r>
          </w:p>
        </w:tc>
      </w:tr>
      <w:tr w:rsidR="00276672" w:rsidRPr="000C233A" w14:paraId="27C54020" w14:textId="77777777" w:rsidTr="00276672">
        <w:trPr>
          <w:trHeight w:val="280"/>
        </w:trPr>
        <w:tc>
          <w:tcPr>
            <w:tcW w:w="2122" w:type="pct"/>
            <w:shd w:val="clear" w:color="auto" w:fill="A5A5A5" w:themeFill="accent3"/>
            <w:noWrap/>
            <w:vAlign w:val="center"/>
            <w:hideMark/>
          </w:tcPr>
          <w:p w14:paraId="5151CAB0" w14:textId="77777777" w:rsidR="000C233A" w:rsidRPr="00276672" w:rsidRDefault="000C233A" w:rsidP="00276672">
            <w:pPr>
              <w:jc w:val="center"/>
              <w:rPr>
                <w:sz w:val="22"/>
                <w:szCs w:val="22"/>
              </w:rPr>
            </w:pPr>
            <w:r w:rsidRPr="00276672">
              <w:rPr>
                <w:sz w:val="22"/>
                <w:szCs w:val="22"/>
              </w:rPr>
              <w:t>RR3</w:t>
            </w:r>
          </w:p>
        </w:tc>
        <w:tc>
          <w:tcPr>
            <w:tcW w:w="956" w:type="pct"/>
            <w:shd w:val="clear" w:color="auto" w:fill="A5A5A5" w:themeFill="accent3"/>
            <w:noWrap/>
            <w:vAlign w:val="center"/>
            <w:hideMark/>
          </w:tcPr>
          <w:p w14:paraId="49D9A092" w14:textId="77777777" w:rsidR="000C233A" w:rsidRPr="00276672" w:rsidRDefault="000C233A" w:rsidP="00276672">
            <w:pPr>
              <w:jc w:val="center"/>
              <w:rPr>
                <w:sz w:val="22"/>
                <w:szCs w:val="22"/>
              </w:rPr>
            </w:pPr>
            <w:r w:rsidRPr="00276672">
              <w:rPr>
                <w:sz w:val="22"/>
                <w:szCs w:val="22"/>
              </w:rPr>
              <w:t>3</w:t>
            </w:r>
          </w:p>
        </w:tc>
        <w:tc>
          <w:tcPr>
            <w:tcW w:w="1922" w:type="pct"/>
            <w:shd w:val="clear" w:color="auto" w:fill="A5A5A5" w:themeFill="accent3"/>
            <w:noWrap/>
            <w:vAlign w:val="center"/>
            <w:hideMark/>
          </w:tcPr>
          <w:p w14:paraId="3CF1EAB0" w14:textId="77777777" w:rsidR="000C233A" w:rsidRPr="00276672" w:rsidRDefault="000C233A" w:rsidP="00276672">
            <w:pPr>
              <w:jc w:val="center"/>
              <w:rPr>
                <w:sz w:val="22"/>
                <w:szCs w:val="22"/>
              </w:rPr>
            </w:pPr>
            <w:r w:rsidRPr="00276672">
              <w:rPr>
                <w:sz w:val="22"/>
                <w:szCs w:val="22"/>
              </w:rPr>
              <w:t>0.54</w:t>
            </w:r>
          </w:p>
        </w:tc>
      </w:tr>
      <w:tr w:rsidR="00276672" w:rsidRPr="000C233A" w14:paraId="7837F890" w14:textId="77777777" w:rsidTr="00276672">
        <w:trPr>
          <w:trHeight w:val="280"/>
        </w:trPr>
        <w:tc>
          <w:tcPr>
            <w:tcW w:w="2122" w:type="pct"/>
            <w:noWrap/>
            <w:vAlign w:val="center"/>
            <w:hideMark/>
          </w:tcPr>
          <w:p w14:paraId="5539CB77" w14:textId="77777777" w:rsidR="000C233A" w:rsidRPr="00276672" w:rsidRDefault="000C233A" w:rsidP="00276672">
            <w:pPr>
              <w:jc w:val="center"/>
              <w:rPr>
                <w:sz w:val="22"/>
                <w:szCs w:val="22"/>
              </w:rPr>
            </w:pPr>
            <w:r w:rsidRPr="00276672">
              <w:rPr>
                <w:sz w:val="22"/>
                <w:szCs w:val="22"/>
              </w:rPr>
              <w:t>RR3</w:t>
            </w:r>
          </w:p>
        </w:tc>
        <w:tc>
          <w:tcPr>
            <w:tcW w:w="956" w:type="pct"/>
            <w:noWrap/>
            <w:vAlign w:val="center"/>
            <w:hideMark/>
          </w:tcPr>
          <w:p w14:paraId="253F64C8" w14:textId="77777777" w:rsidR="000C233A" w:rsidRPr="00276672" w:rsidRDefault="000C233A" w:rsidP="00276672">
            <w:pPr>
              <w:jc w:val="center"/>
              <w:rPr>
                <w:sz w:val="22"/>
                <w:szCs w:val="22"/>
              </w:rPr>
            </w:pPr>
            <w:r w:rsidRPr="00276672">
              <w:rPr>
                <w:sz w:val="22"/>
                <w:szCs w:val="22"/>
              </w:rPr>
              <w:t>2</w:t>
            </w:r>
          </w:p>
        </w:tc>
        <w:tc>
          <w:tcPr>
            <w:tcW w:w="1922" w:type="pct"/>
            <w:noWrap/>
            <w:vAlign w:val="center"/>
            <w:hideMark/>
          </w:tcPr>
          <w:p w14:paraId="0C0A0A40" w14:textId="77777777" w:rsidR="000C233A" w:rsidRPr="00276672" w:rsidRDefault="000C233A" w:rsidP="00276672">
            <w:pPr>
              <w:jc w:val="center"/>
              <w:rPr>
                <w:sz w:val="22"/>
                <w:szCs w:val="22"/>
              </w:rPr>
            </w:pPr>
            <w:r w:rsidRPr="00276672">
              <w:rPr>
                <w:sz w:val="22"/>
                <w:szCs w:val="22"/>
              </w:rPr>
              <w:t>0.46</w:t>
            </w:r>
          </w:p>
        </w:tc>
      </w:tr>
      <w:tr w:rsidR="00276672" w:rsidRPr="000C233A" w14:paraId="41C054DA" w14:textId="77777777" w:rsidTr="00276672">
        <w:trPr>
          <w:trHeight w:val="280"/>
        </w:trPr>
        <w:tc>
          <w:tcPr>
            <w:tcW w:w="2122" w:type="pct"/>
            <w:noWrap/>
            <w:vAlign w:val="center"/>
            <w:hideMark/>
          </w:tcPr>
          <w:p w14:paraId="164798D0" w14:textId="77777777" w:rsidR="000C233A" w:rsidRPr="00276672" w:rsidRDefault="000C233A" w:rsidP="00276672">
            <w:pPr>
              <w:jc w:val="center"/>
              <w:rPr>
                <w:sz w:val="22"/>
                <w:szCs w:val="22"/>
              </w:rPr>
            </w:pPr>
            <w:r w:rsidRPr="00276672">
              <w:rPr>
                <w:sz w:val="22"/>
                <w:szCs w:val="22"/>
              </w:rPr>
              <w:t>RR4</w:t>
            </w:r>
          </w:p>
        </w:tc>
        <w:tc>
          <w:tcPr>
            <w:tcW w:w="956" w:type="pct"/>
            <w:noWrap/>
            <w:vAlign w:val="center"/>
            <w:hideMark/>
          </w:tcPr>
          <w:p w14:paraId="53BE17A3" w14:textId="77777777" w:rsidR="000C233A" w:rsidRPr="00276672" w:rsidRDefault="000C233A" w:rsidP="00276672">
            <w:pPr>
              <w:jc w:val="center"/>
              <w:rPr>
                <w:sz w:val="22"/>
                <w:szCs w:val="22"/>
              </w:rPr>
            </w:pPr>
            <w:r w:rsidRPr="00276672">
              <w:rPr>
                <w:sz w:val="22"/>
                <w:szCs w:val="22"/>
              </w:rPr>
              <w:t>10</w:t>
            </w:r>
          </w:p>
        </w:tc>
        <w:tc>
          <w:tcPr>
            <w:tcW w:w="1922" w:type="pct"/>
            <w:noWrap/>
            <w:vAlign w:val="center"/>
            <w:hideMark/>
          </w:tcPr>
          <w:p w14:paraId="3E9DAB45" w14:textId="77777777" w:rsidR="000C233A" w:rsidRPr="00276672" w:rsidRDefault="000C233A" w:rsidP="00276672">
            <w:pPr>
              <w:jc w:val="center"/>
              <w:rPr>
                <w:sz w:val="22"/>
                <w:szCs w:val="22"/>
              </w:rPr>
            </w:pPr>
            <w:r w:rsidRPr="00276672">
              <w:rPr>
                <w:sz w:val="22"/>
                <w:szCs w:val="22"/>
              </w:rPr>
              <w:t>0.32</w:t>
            </w:r>
          </w:p>
        </w:tc>
      </w:tr>
      <w:tr w:rsidR="00276672" w:rsidRPr="000C233A" w14:paraId="14F36976" w14:textId="77777777" w:rsidTr="00276672">
        <w:trPr>
          <w:trHeight w:val="280"/>
        </w:trPr>
        <w:tc>
          <w:tcPr>
            <w:tcW w:w="2122" w:type="pct"/>
            <w:noWrap/>
            <w:vAlign w:val="center"/>
            <w:hideMark/>
          </w:tcPr>
          <w:p w14:paraId="0A84006C" w14:textId="77777777" w:rsidR="000C233A" w:rsidRPr="00276672" w:rsidRDefault="000C233A" w:rsidP="00276672">
            <w:pPr>
              <w:jc w:val="center"/>
              <w:rPr>
                <w:sz w:val="22"/>
                <w:szCs w:val="22"/>
              </w:rPr>
            </w:pPr>
            <w:r w:rsidRPr="00276672">
              <w:rPr>
                <w:sz w:val="22"/>
                <w:szCs w:val="22"/>
              </w:rPr>
              <w:t>RR4</w:t>
            </w:r>
          </w:p>
        </w:tc>
        <w:tc>
          <w:tcPr>
            <w:tcW w:w="956" w:type="pct"/>
            <w:noWrap/>
            <w:vAlign w:val="center"/>
            <w:hideMark/>
          </w:tcPr>
          <w:p w14:paraId="0510DED1" w14:textId="77777777" w:rsidR="000C233A" w:rsidRPr="00276672" w:rsidRDefault="000C233A" w:rsidP="00276672">
            <w:pPr>
              <w:jc w:val="center"/>
              <w:rPr>
                <w:sz w:val="22"/>
                <w:szCs w:val="22"/>
              </w:rPr>
            </w:pPr>
            <w:r w:rsidRPr="00276672">
              <w:rPr>
                <w:sz w:val="22"/>
                <w:szCs w:val="22"/>
              </w:rPr>
              <w:t>12</w:t>
            </w:r>
          </w:p>
        </w:tc>
        <w:tc>
          <w:tcPr>
            <w:tcW w:w="1922" w:type="pct"/>
            <w:noWrap/>
            <w:vAlign w:val="center"/>
            <w:hideMark/>
          </w:tcPr>
          <w:p w14:paraId="7340B883" w14:textId="77777777" w:rsidR="000C233A" w:rsidRPr="00276672" w:rsidRDefault="000C233A" w:rsidP="00276672">
            <w:pPr>
              <w:jc w:val="center"/>
              <w:rPr>
                <w:sz w:val="22"/>
                <w:szCs w:val="22"/>
              </w:rPr>
            </w:pPr>
            <w:r w:rsidRPr="00276672">
              <w:rPr>
                <w:sz w:val="22"/>
                <w:szCs w:val="22"/>
              </w:rPr>
              <w:t>0.26</w:t>
            </w:r>
          </w:p>
        </w:tc>
      </w:tr>
      <w:tr w:rsidR="00276672" w:rsidRPr="000C233A" w14:paraId="36505444" w14:textId="77777777" w:rsidTr="00276672">
        <w:trPr>
          <w:trHeight w:val="280"/>
        </w:trPr>
        <w:tc>
          <w:tcPr>
            <w:tcW w:w="2122" w:type="pct"/>
            <w:noWrap/>
            <w:vAlign w:val="center"/>
            <w:hideMark/>
          </w:tcPr>
          <w:p w14:paraId="59218EAF" w14:textId="77777777" w:rsidR="000C233A" w:rsidRPr="00276672" w:rsidRDefault="000C233A" w:rsidP="00276672">
            <w:pPr>
              <w:jc w:val="center"/>
              <w:rPr>
                <w:sz w:val="22"/>
                <w:szCs w:val="22"/>
              </w:rPr>
            </w:pPr>
            <w:r w:rsidRPr="00276672">
              <w:rPr>
                <w:sz w:val="22"/>
                <w:szCs w:val="22"/>
              </w:rPr>
              <w:t>RR4</w:t>
            </w:r>
          </w:p>
        </w:tc>
        <w:tc>
          <w:tcPr>
            <w:tcW w:w="956" w:type="pct"/>
            <w:noWrap/>
            <w:vAlign w:val="center"/>
            <w:hideMark/>
          </w:tcPr>
          <w:p w14:paraId="776BBFF7" w14:textId="77777777" w:rsidR="000C233A" w:rsidRPr="00276672" w:rsidRDefault="000C233A" w:rsidP="00276672">
            <w:pPr>
              <w:jc w:val="center"/>
              <w:rPr>
                <w:sz w:val="22"/>
                <w:szCs w:val="22"/>
              </w:rPr>
            </w:pPr>
            <w:r w:rsidRPr="00276672">
              <w:rPr>
                <w:sz w:val="22"/>
                <w:szCs w:val="22"/>
              </w:rPr>
              <w:t>15</w:t>
            </w:r>
          </w:p>
        </w:tc>
        <w:tc>
          <w:tcPr>
            <w:tcW w:w="1922" w:type="pct"/>
            <w:noWrap/>
            <w:vAlign w:val="center"/>
            <w:hideMark/>
          </w:tcPr>
          <w:p w14:paraId="7BB05240" w14:textId="77777777" w:rsidR="000C233A" w:rsidRPr="00276672" w:rsidRDefault="000C233A" w:rsidP="00276672">
            <w:pPr>
              <w:jc w:val="center"/>
              <w:rPr>
                <w:sz w:val="22"/>
                <w:szCs w:val="22"/>
              </w:rPr>
            </w:pPr>
            <w:r w:rsidRPr="00276672">
              <w:rPr>
                <w:sz w:val="22"/>
                <w:szCs w:val="22"/>
              </w:rPr>
              <w:t>0.24</w:t>
            </w:r>
          </w:p>
        </w:tc>
      </w:tr>
      <w:tr w:rsidR="00276672" w:rsidRPr="000C233A" w14:paraId="0C61C9BD" w14:textId="77777777" w:rsidTr="00276672">
        <w:trPr>
          <w:trHeight w:val="280"/>
        </w:trPr>
        <w:tc>
          <w:tcPr>
            <w:tcW w:w="2122" w:type="pct"/>
            <w:noWrap/>
            <w:vAlign w:val="center"/>
            <w:hideMark/>
          </w:tcPr>
          <w:p w14:paraId="42BD87A6" w14:textId="77777777" w:rsidR="000C233A" w:rsidRPr="00276672" w:rsidRDefault="000C233A" w:rsidP="00276672">
            <w:pPr>
              <w:jc w:val="center"/>
              <w:rPr>
                <w:sz w:val="22"/>
                <w:szCs w:val="22"/>
              </w:rPr>
            </w:pPr>
            <w:r w:rsidRPr="00276672">
              <w:rPr>
                <w:sz w:val="22"/>
                <w:szCs w:val="22"/>
              </w:rPr>
              <w:t>RR4</w:t>
            </w:r>
          </w:p>
        </w:tc>
        <w:tc>
          <w:tcPr>
            <w:tcW w:w="956" w:type="pct"/>
            <w:noWrap/>
            <w:vAlign w:val="center"/>
            <w:hideMark/>
          </w:tcPr>
          <w:p w14:paraId="7C09C810" w14:textId="77777777" w:rsidR="000C233A" w:rsidRPr="00276672" w:rsidRDefault="000C233A" w:rsidP="00276672">
            <w:pPr>
              <w:jc w:val="center"/>
              <w:rPr>
                <w:sz w:val="22"/>
                <w:szCs w:val="22"/>
              </w:rPr>
            </w:pPr>
            <w:r w:rsidRPr="00276672">
              <w:rPr>
                <w:sz w:val="22"/>
                <w:szCs w:val="22"/>
              </w:rPr>
              <w:t>11</w:t>
            </w:r>
          </w:p>
        </w:tc>
        <w:tc>
          <w:tcPr>
            <w:tcW w:w="1922" w:type="pct"/>
            <w:noWrap/>
            <w:vAlign w:val="center"/>
            <w:hideMark/>
          </w:tcPr>
          <w:p w14:paraId="1E4D0912" w14:textId="77777777" w:rsidR="000C233A" w:rsidRPr="00276672" w:rsidRDefault="000C233A" w:rsidP="00276672">
            <w:pPr>
              <w:jc w:val="center"/>
              <w:rPr>
                <w:sz w:val="22"/>
                <w:szCs w:val="22"/>
              </w:rPr>
            </w:pPr>
            <w:r w:rsidRPr="00276672">
              <w:rPr>
                <w:sz w:val="22"/>
                <w:szCs w:val="22"/>
              </w:rPr>
              <w:t>0.16</w:t>
            </w:r>
          </w:p>
        </w:tc>
      </w:tr>
      <w:tr w:rsidR="00276672" w:rsidRPr="000C233A" w14:paraId="67F87666" w14:textId="77777777" w:rsidTr="00276672">
        <w:trPr>
          <w:trHeight w:val="280"/>
        </w:trPr>
        <w:tc>
          <w:tcPr>
            <w:tcW w:w="2122" w:type="pct"/>
            <w:noWrap/>
            <w:vAlign w:val="center"/>
            <w:hideMark/>
          </w:tcPr>
          <w:p w14:paraId="1E85151B" w14:textId="77777777" w:rsidR="000C233A" w:rsidRPr="00276672" w:rsidRDefault="000C233A" w:rsidP="00276672">
            <w:pPr>
              <w:jc w:val="center"/>
              <w:rPr>
                <w:sz w:val="22"/>
                <w:szCs w:val="22"/>
              </w:rPr>
            </w:pPr>
            <w:r w:rsidRPr="00276672">
              <w:rPr>
                <w:sz w:val="22"/>
                <w:szCs w:val="22"/>
              </w:rPr>
              <w:t>RR4</w:t>
            </w:r>
          </w:p>
        </w:tc>
        <w:tc>
          <w:tcPr>
            <w:tcW w:w="956" w:type="pct"/>
            <w:noWrap/>
            <w:vAlign w:val="center"/>
            <w:hideMark/>
          </w:tcPr>
          <w:p w14:paraId="72875E2F" w14:textId="77777777" w:rsidR="000C233A" w:rsidRPr="00276672" w:rsidRDefault="000C233A" w:rsidP="00276672">
            <w:pPr>
              <w:jc w:val="center"/>
              <w:rPr>
                <w:sz w:val="22"/>
                <w:szCs w:val="22"/>
              </w:rPr>
            </w:pPr>
            <w:r w:rsidRPr="00276672">
              <w:rPr>
                <w:sz w:val="22"/>
                <w:szCs w:val="22"/>
              </w:rPr>
              <w:t>14</w:t>
            </w:r>
          </w:p>
        </w:tc>
        <w:tc>
          <w:tcPr>
            <w:tcW w:w="1922" w:type="pct"/>
            <w:noWrap/>
            <w:vAlign w:val="center"/>
            <w:hideMark/>
          </w:tcPr>
          <w:p w14:paraId="4E3525D0" w14:textId="77777777" w:rsidR="000C233A" w:rsidRPr="00276672" w:rsidRDefault="000C233A" w:rsidP="00276672">
            <w:pPr>
              <w:jc w:val="center"/>
              <w:rPr>
                <w:sz w:val="22"/>
                <w:szCs w:val="22"/>
              </w:rPr>
            </w:pPr>
            <w:r w:rsidRPr="00276672">
              <w:rPr>
                <w:sz w:val="22"/>
                <w:szCs w:val="22"/>
              </w:rPr>
              <w:t>0.01</w:t>
            </w:r>
          </w:p>
        </w:tc>
      </w:tr>
      <w:tr w:rsidR="00276672" w:rsidRPr="000C233A" w14:paraId="223069CA" w14:textId="77777777" w:rsidTr="00276672">
        <w:trPr>
          <w:trHeight w:val="280"/>
        </w:trPr>
        <w:tc>
          <w:tcPr>
            <w:tcW w:w="2122" w:type="pct"/>
            <w:shd w:val="clear" w:color="auto" w:fill="A5A5A5" w:themeFill="accent3"/>
            <w:noWrap/>
            <w:vAlign w:val="center"/>
            <w:hideMark/>
          </w:tcPr>
          <w:p w14:paraId="41E31F17" w14:textId="77777777" w:rsidR="000C233A" w:rsidRPr="00276672" w:rsidRDefault="000C233A" w:rsidP="00276672">
            <w:pPr>
              <w:jc w:val="center"/>
              <w:rPr>
                <w:sz w:val="22"/>
                <w:szCs w:val="22"/>
              </w:rPr>
            </w:pPr>
            <w:r w:rsidRPr="00276672">
              <w:rPr>
                <w:sz w:val="22"/>
                <w:szCs w:val="22"/>
              </w:rPr>
              <w:t>RR5</w:t>
            </w:r>
          </w:p>
        </w:tc>
        <w:tc>
          <w:tcPr>
            <w:tcW w:w="956" w:type="pct"/>
            <w:shd w:val="clear" w:color="auto" w:fill="A5A5A5" w:themeFill="accent3"/>
            <w:noWrap/>
            <w:vAlign w:val="center"/>
            <w:hideMark/>
          </w:tcPr>
          <w:p w14:paraId="412C8EBF" w14:textId="77777777" w:rsidR="000C233A" w:rsidRPr="00276672" w:rsidRDefault="000C233A" w:rsidP="00276672">
            <w:pPr>
              <w:jc w:val="center"/>
              <w:rPr>
                <w:sz w:val="22"/>
                <w:szCs w:val="22"/>
              </w:rPr>
            </w:pPr>
            <w:r w:rsidRPr="00276672">
              <w:rPr>
                <w:sz w:val="22"/>
                <w:szCs w:val="22"/>
              </w:rPr>
              <w:t>8</w:t>
            </w:r>
          </w:p>
        </w:tc>
        <w:tc>
          <w:tcPr>
            <w:tcW w:w="1922" w:type="pct"/>
            <w:shd w:val="clear" w:color="auto" w:fill="A5A5A5" w:themeFill="accent3"/>
            <w:noWrap/>
            <w:vAlign w:val="center"/>
            <w:hideMark/>
          </w:tcPr>
          <w:p w14:paraId="656D039C" w14:textId="77777777" w:rsidR="000C233A" w:rsidRPr="00276672" w:rsidRDefault="000C233A" w:rsidP="00276672">
            <w:pPr>
              <w:jc w:val="center"/>
              <w:rPr>
                <w:sz w:val="22"/>
                <w:szCs w:val="22"/>
              </w:rPr>
            </w:pPr>
            <w:r w:rsidRPr="00276672">
              <w:rPr>
                <w:sz w:val="22"/>
                <w:szCs w:val="22"/>
              </w:rPr>
              <w:t>0.80</w:t>
            </w:r>
          </w:p>
        </w:tc>
      </w:tr>
      <w:tr w:rsidR="00276672" w:rsidRPr="000C233A" w14:paraId="18032334" w14:textId="77777777" w:rsidTr="00276672">
        <w:trPr>
          <w:trHeight w:val="280"/>
        </w:trPr>
        <w:tc>
          <w:tcPr>
            <w:tcW w:w="2122" w:type="pct"/>
            <w:noWrap/>
            <w:vAlign w:val="center"/>
            <w:hideMark/>
          </w:tcPr>
          <w:p w14:paraId="3657365C" w14:textId="77777777" w:rsidR="000C233A" w:rsidRPr="00276672" w:rsidRDefault="000C233A" w:rsidP="00276672">
            <w:pPr>
              <w:jc w:val="center"/>
              <w:rPr>
                <w:sz w:val="22"/>
                <w:szCs w:val="22"/>
              </w:rPr>
            </w:pPr>
            <w:r w:rsidRPr="00276672">
              <w:rPr>
                <w:sz w:val="22"/>
                <w:szCs w:val="22"/>
              </w:rPr>
              <w:t>RR5</w:t>
            </w:r>
          </w:p>
        </w:tc>
        <w:tc>
          <w:tcPr>
            <w:tcW w:w="956" w:type="pct"/>
            <w:noWrap/>
            <w:vAlign w:val="center"/>
            <w:hideMark/>
          </w:tcPr>
          <w:p w14:paraId="4ACD484E" w14:textId="77777777" w:rsidR="000C233A" w:rsidRPr="00276672" w:rsidRDefault="000C233A" w:rsidP="00276672">
            <w:pPr>
              <w:jc w:val="center"/>
              <w:rPr>
                <w:sz w:val="22"/>
                <w:szCs w:val="22"/>
              </w:rPr>
            </w:pPr>
            <w:r w:rsidRPr="00276672">
              <w:rPr>
                <w:sz w:val="22"/>
                <w:szCs w:val="22"/>
              </w:rPr>
              <w:t>16</w:t>
            </w:r>
          </w:p>
        </w:tc>
        <w:tc>
          <w:tcPr>
            <w:tcW w:w="1922" w:type="pct"/>
            <w:noWrap/>
            <w:vAlign w:val="center"/>
            <w:hideMark/>
          </w:tcPr>
          <w:p w14:paraId="405BACDB" w14:textId="77777777" w:rsidR="000C233A" w:rsidRPr="00276672" w:rsidRDefault="000C233A" w:rsidP="00276672">
            <w:pPr>
              <w:jc w:val="center"/>
              <w:rPr>
                <w:sz w:val="22"/>
                <w:szCs w:val="22"/>
              </w:rPr>
            </w:pPr>
            <w:r w:rsidRPr="00276672">
              <w:rPr>
                <w:sz w:val="22"/>
                <w:szCs w:val="22"/>
              </w:rPr>
              <w:t>0.20</w:t>
            </w:r>
          </w:p>
        </w:tc>
      </w:tr>
    </w:tbl>
    <w:p w14:paraId="7257FA3A" w14:textId="301EDA7A" w:rsidR="000C233A" w:rsidRDefault="000C233A"/>
    <w:p w14:paraId="2AB050B7" w14:textId="3FB9F744" w:rsidR="00AF445C" w:rsidRDefault="00AF445C">
      <w:bookmarkStart w:id="0" w:name="_GoBack"/>
      <w:bookmarkEnd w:id="0"/>
    </w:p>
    <w:p w14:paraId="323C3973" w14:textId="2195E8B3" w:rsidR="00CF39D8" w:rsidRDefault="00CF39D8">
      <w:pPr>
        <w:rPr>
          <w:b/>
          <w:bCs/>
          <w:sz w:val="32"/>
          <w:szCs w:val="32"/>
        </w:rPr>
      </w:pPr>
      <w:r w:rsidRPr="00CF39D8">
        <w:rPr>
          <w:b/>
          <w:bCs/>
          <w:sz w:val="32"/>
          <w:szCs w:val="32"/>
        </w:rPr>
        <w:t xml:space="preserve">Influencers of </w:t>
      </w:r>
      <w:r>
        <w:rPr>
          <w:b/>
          <w:bCs/>
          <w:sz w:val="32"/>
          <w:szCs w:val="32"/>
        </w:rPr>
        <w:t>M</w:t>
      </w:r>
      <w:r w:rsidRPr="00CF39D8">
        <w:rPr>
          <w:b/>
          <w:bCs/>
          <w:sz w:val="32"/>
          <w:szCs w:val="32"/>
        </w:rPr>
        <w:t xml:space="preserve">onopoly </w:t>
      </w:r>
    </w:p>
    <w:p w14:paraId="76CD83C0" w14:textId="45446113" w:rsidR="00CF39D8" w:rsidRDefault="00CF39D8">
      <w:pPr>
        <w:rPr>
          <w:b/>
          <w:bCs/>
          <w:sz w:val="32"/>
          <w:szCs w:val="32"/>
        </w:rPr>
      </w:pPr>
    </w:p>
    <w:p w14:paraId="6B4CE759" w14:textId="040AFA73" w:rsidR="00CF39D8" w:rsidRPr="00CF39D8" w:rsidRDefault="00CF39D8" w:rsidP="00FF0292">
      <w:pPr>
        <w:spacing w:line="276" w:lineRule="auto"/>
        <w:jc w:val="both"/>
      </w:pPr>
      <w:r>
        <w:t xml:space="preserve">According to CNBC, larger hospitals with more capital assets and better access to technology and staff thrive and gradually to become monopolies. They have formed a healthy revenue pattern by providing high-ended care, jacking up healthcare service prices, and attracting well paid patients. Therefore, in this report, we want to investigate whether in more complicated procedures among the MDCs, the larger hospitals attract more well-paid commercial insurance patients and fewer government-paid Medicare beneficiaries. Our basic hypotheses are that the types of patients (commercial insurance payers and government-supported insurance payers) and the complexity of MDC procedures are the two main influencers of monopoly. </w:t>
      </w:r>
    </w:p>
    <w:sectPr w:rsidR="00CF39D8" w:rsidRPr="00CF39D8" w:rsidSect="00C0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28"/>
    <w:rsid w:val="000C233A"/>
    <w:rsid w:val="00276672"/>
    <w:rsid w:val="003C7C7F"/>
    <w:rsid w:val="004749D2"/>
    <w:rsid w:val="008E2B28"/>
    <w:rsid w:val="00AF445C"/>
    <w:rsid w:val="00C0149B"/>
    <w:rsid w:val="00CF39D8"/>
    <w:rsid w:val="00DA50A5"/>
    <w:rsid w:val="00DE7AE4"/>
    <w:rsid w:val="00FF0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207A"/>
  <w15:chartTrackingRefBased/>
  <w15:docId w15:val="{ADB1FCE5-6773-FD4C-BF07-AB144846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7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7C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23109">
      <w:bodyDiv w:val="1"/>
      <w:marLeft w:val="0"/>
      <w:marRight w:val="0"/>
      <w:marTop w:val="0"/>
      <w:marBottom w:val="0"/>
      <w:divBdr>
        <w:top w:val="none" w:sz="0" w:space="0" w:color="auto"/>
        <w:left w:val="none" w:sz="0" w:space="0" w:color="auto"/>
        <w:bottom w:val="none" w:sz="0" w:space="0" w:color="auto"/>
        <w:right w:val="none" w:sz="0" w:space="0" w:color="auto"/>
      </w:divBdr>
    </w:div>
    <w:div w:id="510223610">
      <w:bodyDiv w:val="1"/>
      <w:marLeft w:val="0"/>
      <w:marRight w:val="0"/>
      <w:marTop w:val="0"/>
      <w:marBottom w:val="0"/>
      <w:divBdr>
        <w:top w:val="none" w:sz="0" w:space="0" w:color="auto"/>
        <w:left w:val="none" w:sz="0" w:space="0" w:color="auto"/>
        <w:bottom w:val="none" w:sz="0" w:space="0" w:color="auto"/>
        <w:right w:val="none" w:sz="0" w:space="0" w:color="auto"/>
      </w:divBdr>
    </w:div>
    <w:div w:id="577374158">
      <w:bodyDiv w:val="1"/>
      <w:marLeft w:val="0"/>
      <w:marRight w:val="0"/>
      <w:marTop w:val="0"/>
      <w:marBottom w:val="0"/>
      <w:divBdr>
        <w:top w:val="none" w:sz="0" w:space="0" w:color="auto"/>
        <w:left w:val="none" w:sz="0" w:space="0" w:color="auto"/>
        <w:bottom w:val="none" w:sz="0" w:space="0" w:color="auto"/>
        <w:right w:val="none" w:sz="0" w:space="0" w:color="auto"/>
      </w:divBdr>
    </w:div>
    <w:div w:id="662397948">
      <w:bodyDiv w:val="1"/>
      <w:marLeft w:val="0"/>
      <w:marRight w:val="0"/>
      <w:marTop w:val="0"/>
      <w:marBottom w:val="0"/>
      <w:divBdr>
        <w:top w:val="none" w:sz="0" w:space="0" w:color="auto"/>
        <w:left w:val="none" w:sz="0" w:space="0" w:color="auto"/>
        <w:bottom w:val="none" w:sz="0" w:space="0" w:color="auto"/>
        <w:right w:val="none" w:sz="0" w:space="0" w:color="auto"/>
      </w:divBdr>
    </w:div>
    <w:div w:id="665205383">
      <w:bodyDiv w:val="1"/>
      <w:marLeft w:val="0"/>
      <w:marRight w:val="0"/>
      <w:marTop w:val="0"/>
      <w:marBottom w:val="0"/>
      <w:divBdr>
        <w:top w:val="none" w:sz="0" w:space="0" w:color="auto"/>
        <w:left w:val="none" w:sz="0" w:space="0" w:color="auto"/>
        <w:bottom w:val="none" w:sz="0" w:space="0" w:color="auto"/>
        <w:right w:val="none" w:sz="0" w:space="0" w:color="auto"/>
      </w:divBdr>
      <w:divsChild>
        <w:div w:id="1319840799">
          <w:marLeft w:val="0"/>
          <w:marRight w:val="0"/>
          <w:marTop w:val="0"/>
          <w:marBottom w:val="0"/>
          <w:divBdr>
            <w:top w:val="none" w:sz="0" w:space="0" w:color="auto"/>
            <w:left w:val="none" w:sz="0" w:space="0" w:color="auto"/>
            <w:bottom w:val="none" w:sz="0" w:space="0" w:color="auto"/>
            <w:right w:val="none" w:sz="0" w:space="0" w:color="auto"/>
          </w:divBdr>
          <w:divsChild>
            <w:div w:id="720445714">
              <w:marLeft w:val="0"/>
              <w:marRight w:val="0"/>
              <w:marTop w:val="0"/>
              <w:marBottom w:val="0"/>
              <w:divBdr>
                <w:top w:val="none" w:sz="0" w:space="0" w:color="auto"/>
                <w:left w:val="none" w:sz="0" w:space="0" w:color="auto"/>
                <w:bottom w:val="none" w:sz="0" w:space="0" w:color="auto"/>
                <w:right w:val="none" w:sz="0" w:space="0" w:color="auto"/>
              </w:divBdr>
              <w:divsChild>
                <w:div w:id="1127698789">
                  <w:marLeft w:val="0"/>
                  <w:marRight w:val="0"/>
                  <w:marTop w:val="0"/>
                  <w:marBottom w:val="0"/>
                  <w:divBdr>
                    <w:top w:val="none" w:sz="0" w:space="0" w:color="auto"/>
                    <w:left w:val="none" w:sz="0" w:space="0" w:color="auto"/>
                    <w:bottom w:val="none" w:sz="0" w:space="0" w:color="auto"/>
                    <w:right w:val="none" w:sz="0" w:space="0" w:color="auto"/>
                  </w:divBdr>
                  <w:divsChild>
                    <w:div w:id="19705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3937">
      <w:bodyDiv w:val="1"/>
      <w:marLeft w:val="0"/>
      <w:marRight w:val="0"/>
      <w:marTop w:val="0"/>
      <w:marBottom w:val="0"/>
      <w:divBdr>
        <w:top w:val="none" w:sz="0" w:space="0" w:color="auto"/>
        <w:left w:val="none" w:sz="0" w:space="0" w:color="auto"/>
        <w:bottom w:val="none" w:sz="0" w:space="0" w:color="auto"/>
        <w:right w:val="none" w:sz="0" w:space="0" w:color="auto"/>
      </w:divBdr>
    </w:div>
    <w:div w:id="1254583318">
      <w:bodyDiv w:val="1"/>
      <w:marLeft w:val="0"/>
      <w:marRight w:val="0"/>
      <w:marTop w:val="0"/>
      <w:marBottom w:val="0"/>
      <w:divBdr>
        <w:top w:val="none" w:sz="0" w:space="0" w:color="auto"/>
        <w:left w:val="none" w:sz="0" w:space="0" w:color="auto"/>
        <w:bottom w:val="none" w:sz="0" w:space="0" w:color="auto"/>
        <w:right w:val="none" w:sz="0" w:space="0" w:color="auto"/>
      </w:divBdr>
    </w:div>
    <w:div w:id="1428622966">
      <w:bodyDiv w:val="1"/>
      <w:marLeft w:val="0"/>
      <w:marRight w:val="0"/>
      <w:marTop w:val="0"/>
      <w:marBottom w:val="0"/>
      <w:divBdr>
        <w:top w:val="none" w:sz="0" w:space="0" w:color="auto"/>
        <w:left w:val="none" w:sz="0" w:space="0" w:color="auto"/>
        <w:bottom w:val="none" w:sz="0" w:space="0" w:color="auto"/>
        <w:right w:val="none" w:sz="0" w:space="0" w:color="auto"/>
      </w:divBdr>
    </w:div>
    <w:div w:id="1451320902">
      <w:bodyDiv w:val="1"/>
      <w:marLeft w:val="0"/>
      <w:marRight w:val="0"/>
      <w:marTop w:val="0"/>
      <w:marBottom w:val="0"/>
      <w:divBdr>
        <w:top w:val="none" w:sz="0" w:space="0" w:color="auto"/>
        <w:left w:val="none" w:sz="0" w:space="0" w:color="auto"/>
        <w:bottom w:val="none" w:sz="0" w:space="0" w:color="auto"/>
        <w:right w:val="none" w:sz="0" w:space="0" w:color="auto"/>
      </w:divBdr>
    </w:div>
    <w:div w:id="1546336526">
      <w:bodyDiv w:val="1"/>
      <w:marLeft w:val="0"/>
      <w:marRight w:val="0"/>
      <w:marTop w:val="0"/>
      <w:marBottom w:val="0"/>
      <w:divBdr>
        <w:top w:val="none" w:sz="0" w:space="0" w:color="auto"/>
        <w:left w:val="none" w:sz="0" w:space="0" w:color="auto"/>
        <w:bottom w:val="none" w:sz="0" w:space="0" w:color="auto"/>
        <w:right w:val="none" w:sz="0" w:space="0" w:color="auto"/>
      </w:divBdr>
    </w:div>
    <w:div w:id="1573465855">
      <w:bodyDiv w:val="1"/>
      <w:marLeft w:val="0"/>
      <w:marRight w:val="0"/>
      <w:marTop w:val="0"/>
      <w:marBottom w:val="0"/>
      <w:divBdr>
        <w:top w:val="none" w:sz="0" w:space="0" w:color="auto"/>
        <w:left w:val="none" w:sz="0" w:space="0" w:color="auto"/>
        <w:bottom w:val="none" w:sz="0" w:space="0" w:color="auto"/>
        <w:right w:val="none" w:sz="0" w:space="0" w:color="auto"/>
      </w:divBdr>
    </w:div>
    <w:div w:id="1777403440">
      <w:bodyDiv w:val="1"/>
      <w:marLeft w:val="0"/>
      <w:marRight w:val="0"/>
      <w:marTop w:val="0"/>
      <w:marBottom w:val="0"/>
      <w:divBdr>
        <w:top w:val="none" w:sz="0" w:space="0" w:color="auto"/>
        <w:left w:val="none" w:sz="0" w:space="0" w:color="auto"/>
        <w:bottom w:val="none" w:sz="0" w:space="0" w:color="auto"/>
        <w:right w:val="none" w:sz="0" w:space="0" w:color="auto"/>
      </w:divBdr>
    </w:div>
    <w:div w:id="1965386879">
      <w:bodyDiv w:val="1"/>
      <w:marLeft w:val="0"/>
      <w:marRight w:val="0"/>
      <w:marTop w:val="0"/>
      <w:marBottom w:val="0"/>
      <w:divBdr>
        <w:top w:val="none" w:sz="0" w:space="0" w:color="auto"/>
        <w:left w:val="none" w:sz="0" w:space="0" w:color="auto"/>
        <w:bottom w:val="none" w:sz="0" w:space="0" w:color="auto"/>
        <w:right w:val="none" w:sz="0" w:space="0" w:color="auto"/>
      </w:divBdr>
    </w:div>
    <w:div w:id="1987052306">
      <w:bodyDiv w:val="1"/>
      <w:marLeft w:val="0"/>
      <w:marRight w:val="0"/>
      <w:marTop w:val="0"/>
      <w:marBottom w:val="0"/>
      <w:divBdr>
        <w:top w:val="none" w:sz="0" w:space="0" w:color="auto"/>
        <w:left w:val="none" w:sz="0" w:space="0" w:color="auto"/>
        <w:bottom w:val="none" w:sz="0" w:space="0" w:color="auto"/>
        <w:right w:val="none" w:sz="0" w:space="0" w:color="auto"/>
      </w:divBdr>
      <w:divsChild>
        <w:div w:id="1911037433">
          <w:marLeft w:val="0"/>
          <w:marRight w:val="0"/>
          <w:marTop w:val="0"/>
          <w:marBottom w:val="0"/>
          <w:divBdr>
            <w:top w:val="none" w:sz="0" w:space="0" w:color="auto"/>
            <w:left w:val="none" w:sz="0" w:space="0" w:color="auto"/>
            <w:bottom w:val="none" w:sz="0" w:space="0" w:color="auto"/>
            <w:right w:val="none" w:sz="0" w:space="0" w:color="auto"/>
          </w:divBdr>
          <w:divsChild>
            <w:div w:id="690376706">
              <w:marLeft w:val="0"/>
              <w:marRight w:val="0"/>
              <w:marTop w:val="0"/>
              <w:marBottom w:val="0"/>
              <w:divBdr>
                <w:top w:val="none" w:sz="0" w:space="0" w:color="auto"/>
                <w:left w:val="none" w:sz="0" w:space="0" w:color="auto"/>
                <w:bottom w:val="none" w:sz="0" w:space="0" w:color="auto"/>
                <w:right w:val="none" w:sz="0" w:space="0" w:color="auto"/>
              </w:divBdr>
              <w:divsChild>
                <w:div w:id="1323583771">
                  <w:marLeft w:val="0"/>
                  <w:marRight w:val="0"/>
                  <w:marTop w:val="0"/>
                  <w:marBottom w:val="0"/>
                  <w:divBdr>
                    <w:top w:val="none" w:sz="0" w:space="0" w:color="auto"/>
                    <w:left w:val="none" w:sz="0" w:space="0" w:color="auto"/>
                    <w:bottom w:val="none" w:sz="0" w:space="0" w:color="auto"/>
                    <w:right w:val="none" w:sz="0" w:space="0" w:color="auto"/>
                  </w:divBdr>
                  <w:divsChild>
                    <w:div w:id="975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AACE-22DC-E646-B24C-5C9306FB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nx6272</dc:creator>
  <cp:keywords/>
  <dc:description/>
  <cp:lastModifiedBy>nx6272</cp:lastModifiedBy>
  <cp:revision>13</cp:revision>
  <dcterms:created xsi:type="dcterms:W3CDTF">2020-03-30T15:09:00Z</dcterms:created>
  <dcterms:modified xsi:type="dcterms:W3CDTF">2020-03-30T16:44:00Z</dcterms:modified>
</cp:coreProperties>
</file>