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6C193" w14:textId="55A684EA" w:rsidR="00197D74" w:rsidRPr="00197D74" w:rsidRDefault="00197D74" w:rsidP="00197D74">
      <w:pPr>
        <w:rPr>
          <w:sz w:val="20"/>
          <w:szCs w:val="20"/>
        </w:rPr>
      </w:pPr>
      <w:r w:rsidRPr="00197D74">
        <w:rPr>
          <w:rFonts w:ascii="Calibri" w:hAnsi="Calibri" w:cs="Calibri"/>
          <w:b/>
          <w:bCs/>
          <w:color w:val="0070C0"/>
        </w:rPr>
        <w:t>Q</w:t>
      </w:r>
      <w:r>
        <w:rPr>
          <w:rFonts w:ascii="Calibri" w:hAnsi="Calibri" w:cs="Calibri"/>
          <w:b/>
          <w:bCs/>
          <w:color w:val="0070C0"/>
        </w:rPr>
        <w:t>1</w:t>
      </w:r>
      <w:r w:rsidRPr="00197D74">
        <w:rPr>
          <w:rFonts w:ascii="Calibri" w:hAnsi="Calibri" w:cs="Calibri"/>
          <w:b/>
          <w:bCs/>
          <w:color w:val="0070C0"/>
        </w:rPr>
        <w:t>: Sector Trend Movements</w:t>
      </w:r>
    </w:p>
    <w:p w14:paraId="48F74F6F" w14:textId="5C119C38" w:rsidR="00EB70A9" w:rsidRDefault="00EB70A9" w:rsidP="00EB70A9">
      <w:r>
        <w:t>After we calculated the percent decline and percent value retention (VR), we applied weighted average value retention according to the market capitalization of each company in order to measure the sector performance. Based on our results (Table 1.1)</w:t>
      </w:r>
      <w:r w:rsidR="00B913D2">
        <w:t>, the weighted VR of Consumer Staples is 76.5</w:t>
      </w:r>
      <w:r w:rsidR="009F7CBC">
        <w:t>0</w:t>
      </w:r>
      <w:r w:rsidR="00B913D2">
        <w:t>%, while the weighted VR of Consumer Discretionary is 68.8</w:t>
      </w:r>
      <w:r w:rsidR="009F7CBC">
        <w:t>3</w:t>
      </w:r>
      <w:r w:rsidR="00B913D2">
        <w:t xml:space="preserve">%. Consumer Staples sector contains </w:t>
      </w:r>
      <w:r w:rsidR="00B913D2">
        <w:rPr>
          <w:rFonts w:hint="eastAsia"/>
        </w:rPr>
        <w:t>b</w:t>
      </w:r>
      <w:r w:rsidR="00B913D2" w:rsidRPr="00B913D2">
        <w:t>asic necessities</w:t>
      </w:r>
      <w:r w:rsidR="00B913D2">
        <w:t xml:space="preserve"> such as </w:t>
      </w:r>
      <w:r w:rsidR="00B913D2" w:rsidRPr="00B913D2">
        <w:t>Packaged Foods &amp; Meats</w:t>
      </w:r>
      <w:r w:rsidR="00B913D2">
        <w:t xml:space="preserve">, </w:t>
      </w:r>
      <w:r w:rsidR="00B913D2" w:rsidRPr="00B913D2">
        <w:t>Soft Drinks</w:t>
      </w:r>
      <w:r w:rsidR="00B913D2">
        <w:t xml:space="preserve">, </w:t>
      </w:r>
      <w:r w:rsidR="00B913D2" w:rsidRPr="00B913D2">
        <w:t>Agricultural Products</w:t>
      </w:r>
      <w:r w:rsidR="008A1C74">
        <w:t xml:space="preserve">, etc. These kinds of products have low income elasticity of demand and tend to have a stable price during an economic crisis. </w:t>
      </w:r>
      <w:r w:rsidR="00B63619">
        <w:t xml:space="preserve">On the opposite, Consumer Discretionary including many luxury goods has much lower income elasticity of demand. </w:t>
      </w:r>
      <w:r w:rsidR="008A1C74">
        <w:t xml:space="preserve">Therefore, Consumer Staples has the highest weighted VR in our table while Consumer Discretionary shows lower strength in value retention. This observation is consistent with the rules </w:t>
      </w:r>
      <w:r w:rsidR="00B63619">
        <w:t xml:space="preserve">of Income Elasticity of Demand. </w:t>
      </w:r>
    </w:p>
    <w:p w14:paraId="2AA2F3DA" w14:textId="4871AE10" w:rsidR="00A8079B" w:rsidRDefault="00A8079B" w:rsidP="00A8079B">
      <w:pPr>
        <w:jc w:val="center"/>
      </w:pPr>
      <w:r w:rsidRPr="00EB70A9">
        <w:rPr>
          <w:b/>
          <w:bCs/>
          <w:sz w:val="20"/>
          <w:szCs w:val="20"/>
        </w:rPr>
        <w:t>Table 1.1</w:t>
      </w:r>
      <w:r>
        <w:rPr>
          <w:sz w:val="20"/>
          <w:szCs w:val="20"/>
        </w:rPr>
        <w:t xml:space="preserve">   Sector performance</w:t>
      </w:r>
    </w:p>
    <w:tbl>
      <w:tblPr>
        <w:tblW w:w="7740" w:type="dxa"/>
        <w:jc w:val="center"/>
        <w:tblLook w:val="04A0" w:firstRow="1" w:lastRow="0" w:firstColumn="1" w:lastColumn="0" w:noHBand="0" w:noVBand="1"/>
      </w:tblPr>
      <w:tblGrid>
        <w:gridCol w:w="2430"/>
        <w:gridCol w:w="1800"/>
        <w:gridCol w:w="1620"/>
        <w:gridCol w:w="1890"/>
      </w:tblGrid>
      <w:tr w:rsidR="00B913D2" w:rsidRPr="00EB70A9" w14:paraId="24A61B6D" w14:textId="77777777" w:rsidTr="00A8079B">
        <w:trPr>
          <w:trHeight w:val="285"/>
          <w:jc w:val="center"/>
        </w:trPr>
        <w:tc>
          <w:tcPr>
            <w:tcW w:w="2430" w:type="dxa"/>
            <w:tcBorders>
              <w:bottom w:val="single" w:sz="4" w:space="0" w:color="auto"/>
            </w:tcBorders>
            <w:shd w:val="clear" w:color="000000" w:fill="BFBFBF"/>
            <w:noWrap/>
            <w:vAlign w:val="bottom"/>
            <w:hideMark/>
          </w:tcPr>
          <w:p w14:paraId="709319E2"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GICS Sector</w:t>
            </w:r>
          </w:p>
        </w:tc>
        <w:tc>
          <w:tcPr>
            <w:tcW w:w="1800" w:type="dxa"/>
            <w:tcBorders>
              <w:left w:val="nil"/>
              <w:bottom w:val="single" w:sz="4" w:space="0" w:color="auto"/>
              <w:right w:val="nil"/>
            </w:tcBorders>
            <w:shd w:val="clear" w:color="000000" w:fill="BFBFBF"/>
            <w:noWrap/>
            <w:vAlign w:val="bottom"/>
            <w:hideMark/>
          </w:tcPr>
          <w:p w14:paraId="5654EBBC"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Weighted</w:t>
            </w:r>
            <w:r>
              <w:rPr>
                <w:rFonts w:ascii="Calibri" w:eastAsia="Times New Roman" w:hAnsi="Calibri" w:cs="Calibri"/>
                <w:color w:val="000000"/>
                <w:sz w:val="20"/>
                <w:szCs w:val="20"/>
              </w:rPr>
              <w:t xml:space="preserve"> </w:t>
            </w:r>
            <w:r w:rsidRPr="00EB70A9">
              <w:rPr>
                <w:rFonts w:ascii="Calibri" w:eastAsia="Times New Roman" w:hAnsi="Calibri" w:cs="Calibri"/>
                <w:color w:val="000000"/>
                <w:sz w:val="20"/>
                <w:szCs w:val="20"/>
              </w:rPr>
              <w:t>VR</w:t>
            </w:r>
          </w:p>
        </w:tc>
        <w:tc>
          <w:tcPr>
            <w:tcW w:w="1620" w:type="dxa"/>
            <w:tcBorders>
              <w:left w:val="nil"/>
              <w:bottom w:val="single" w:sz="4" w:space="0" w:color="auto"/>
              <w:right w:val="nil"/>
            </w:tcBorders>
            <w:shd w:val="clear" w:color="000000" w:fill="BFBFBF"/>
            <w:noWrap/>
            <w:vAlign w:val="bottom"/>
            <w:hideMark/>
          </w:tcPr>
          <w:p w14:paraId="12E47639"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 xml:space="preserve">Average </w:t>
            </w:r>
            <w:r w:rsidRPr="00EB70A9">
              <w:rPr>
                <w:rFonts w:ascii="Calibri" w:eastAsia="Times New Roman" w:hAnsi="Calibri" w:cs="Calibri"/>
                <w:color w:val="000000"/>
                <w:sz w:val="20"/>
                <w:szCs w:val="20"/>
              </w:rPr>
              <w:t>VR</w:t>
            </w:r>
          </w:p>
        </w:tc>
        <w:tc>
          <w:tcPr>
            <w:tcW w:w="1890" w:type="dxa"/>
            <w:tcBorders>
              <w:left w:val="nil"/>
              <w:bottom w:val="single" w:sz="4" w:space="0" w:color="auto"/>
            </w:tcBorders>
            <w:shd w:val="clear" w:color="000000" w:fill="BFBFBF"/>
            <w:noWrap/>
            <w:vAlign w:val="bottom"/>
            <w:hideMark/>
          </w:tcPr>
          <w:p w14:paraId="619823E6"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 xml:space="preserve">Percentage </w:t>
            </w:r>
            <w:r w:rsidRPr="00EB70A9">
              <w:rPr>
                <w:rFonts w:ascii="Calibri" w:eastAsia="Times New Roman" w:hAnsi="Calibri" w:cs="Calibri"/>
                <w:color w:val="000000"/>
                <w:sz w:val="20"/>
                <w:szCs w:val="20"/>
              </w:rPr>
              <w:t>Decline</w:t>
            </w:r>
          </w:p>
        </w:tc>
      </w:tr>
      <w:tr w:rsidR="00B913D2" w:rsidRPr="00EB70A9" w14:paraId="685848BE" w14:textId="77777777" w:rsidTr="00A8079B">
        <w:trPr>
          <w:trHeight w:val="285"/>
          <w:jc w:val="center"/>
        </w:trPr>
        <w:tc>
          <w:tcPr>
            <w:tcW w:w="2430" w:type="dxa"/>
            <w:tcBorders>
              <w:top w:val="single" w:sz="4" w:space="0" w:color="auto"/>
              <w:bottom w:val="nil"/>
              <w:right w:val="single" w:sz="4" w:space="0" w:color="auto"/>
            </w:tcBorders>
            <w:shd w:val="clear" w:color="000000" w:fill="C6E0B4"/>
            <w:noWrap/>
            <w:vAlign w:val="bottom"/>
            <w:hideMark/>
          </w:tcPr>
          <w:p w14:paraId="1376FB84" w14:textId="77777777" w:rsidR="00B913D2" w:rsidRPr="00EB70A9" w:rsidRDefault="00B913D2" w:rsidP="00A8079B">
            <w:pPr>
              <w:spacing w:after="0" w:line="240" w:lineRule="auto"/>
              <w:rPr>
                <w:rFonts w:ascii="Calibri" w:eastAsia="Times New Roman" w:hAnsi="Calibri" w:cs="Calibri"/>
                <w:color w:val="000000"/>
                <w:sz w:val="20"/>
                <w:szCs w:val="20"/>
              </w:rPr>
            </w:pPr>
            <w:r w:rsidRPr="00EB70A9">
              <w:rPr>
                <w:rFonts w:ascii="Calibri" w:eastAsia="Times New Roman" w:hAnsi="Calibri" w:cs="Calibri"/>
                <w:color w:val="000000"/>
                <w:sz w:val="20"/>
                <w:szCs w:val="20"/>
              </w:rPr>
              <w:t>Consumer Staples</w:t>
            </w:r>
          </w:p>
        </w:tc>
        <w:tc>
          <w:tcPr>
            <w:tcW w:w="1800" w:type="dxa"/>
            <w:tcBorders>
              <w:top w:val="single" w:sz="4" w:space="0" w:color="auto"/>
              <w:left w:val="single" w:sz="4" w:space="0" w:color="auto"/>
              <w:bottom w:val="nil"/>
              <w:right w:val="nil"/>
            </w:tcBorders>
            <w:shd w:val="clear" w:color="000000" w:fill="C6E0B4"/>
            <w:noWrap/>
            <w:vAlign w:val="bottom"/>
            <w:hideMark/>
          </w:tcPr>
          <w:p w14:paraId="569BC567"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76.50%</w:t>
            </w:r>
          </w:p>
        </w:tc>
        <w:tc>
          <w:tcPr>
            <w:tcW w:w="1620" w:type="dxa"/>
            <w:tcBorders>
              <w:top w:val="single" w:sz="4" w:space="0" w:color="auto"/>
              <w:left w:val="nil"/>
              <w:bottom w:val="nil"/>
              <w:right w:val="nil"/>
            </w:tcBorders>
            <w:shd w:val="clear" w:color="000000" w:fill="C6E0B4"/>
            <w:noWrap/>
            <w:vAlign w:val="bottom"/>
            <w:hideMark/>
          </w:tcPr>
          <w:p w14:paraId="30F0E114"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74.53%</w:t>
            </w:r>
          </w:p>
        </w:tc>
        <w:tc>
          <w:tcPr>
            <w:tcW w:w="1890" w:type="dxa"/>
            <w:tcBorders>
              <w:top w:val="single" w:sz="4" w:space="0" w:color="auto"/>
              <w:left w:val="nil"/>
              <w:bottom w:val="nil"/>
            </w:tcBorders>
            <w:shd w:val="clear" w:color="000000" w:fill="C6E0B4"/>
            <w:noWrap/>
            <w:vAlign w:val="bottom"/>
            <w:hideMark/>
          </w:tcPr>
          <w:p w14:paraId="23F77BE2"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-25.47%</w:t>
            </w:r>
          </w:p>
        </w:tc>
      </w:tr>
      <w:tr w:rsidR="00B913D2" w:rsidRPr="00EB70A9" w14:paraId="12A1CAB2" w14:textId="77777777" w:rsidTr="00A8079B">
        <w:trPr>
          <w:trHeight w:val="285"/>
          <w:jc w:val="center"/>
        </w:trPr>
        <w:tc>
          <w:tcPr>
            <w:tcW w:w="2430" w:type="dxa"/>
            <w:tcBorders>
              <w:top w:val="nil"/>
              <w:bottom w:val="nil"/>
              <w:right w:val="single" w:sz="4" w:space="0" w:color="auto"/>
            </w:tcBorders>
            <w:shd w:val="clear" w:color="auto" w:fill="auto"/>
            <w:noWrap/>
            <w:vAlign w:val="bottom"/>
            <w:hideMark/>
          </w:tcPr>
          <w:p w14:paraId="1DEB9158" w14:textId="77777777" w:rsidR="00B913D2" w:rsidRPr="00EB70A9" w:rsidRDefault="00B913D2" w:rsidP="00A8079B">
            <w:pPr>
              <w:spacing w:after="0" w:line="240" w:lineRule="auto"/>
              <w:rPr>
                <w:rFonts w:ascii="Calibri" w:eastAsia="Times New Roman" w:hAnsi="Calibri" w:cs="Calibri"/>
                <w:color w:val="000000"/>
                <w:sz w:val="20"/>
                <w:szCs w:val="20"/>
              </w:rPr>
            </w:pPr>
            <w:r w:rsidRPr="00EB70A9">
              <w:rPr>
                <w:rFonts w:ascii="Calibri" w:eastAsia="Times New Roman" w:hAnsi="Calibri" w:cs="Calibri"/>
                <w:color w:val="000000"/>
                <w:sz w:val="20"/>
                <w:szCs w:val="20"/>
              </w:rPr>
              <w:t>Health Care</w:t>
            </w:r>
          </w:p>
        </w:tc>
        <w:tc>
          <w:tcPr>
            <w:tcW w:w="1800" w:type="dxa"/>
            <w:tcBorders>
              <w:top w:val="nil"/>
              <w:left w:val="single" w:sz="4" w:space="0" w:color="auto"/>
              <w:bottom w:val="nil"/>
              <w:right w:val="nil"/>
            </w:tcBorders>
            <w:shd w:val="clear" w:color="auto" w:fill="auto"/>
            <w:noWrap/>
            <w:vAlign w:val="bottom"/>
            <w:hideMark/>
          </w:tcPr>
          <w:p w14:paraId="71339B28"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72.11%</w:t>
            </w:r>
          </w:p>
        </w:tc>
        <w:tc>
          <w:tcPr>
            <w:tcW w:w="1620" w:type="dxa"/>
            <w:tcBorders>
              <w:top w:val="nil"/>
              <w:left w:val="nil"/>
              <w:bottom w:val="nil"/>
              <w:right w:val="nil"/>
            </w:tcBorders>
            <w:shd w:val="clear" w:color="auto" w:fill="auto"/>
            <w:noWrap/>
            <w:vAlign w:val="bottom"/>
            <w:hideMark/>
          </w:tcPr>
          <w:p w14:paraId="63D44497"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69.89%</w:t>
            </w:r>
          </w:p>
        </w:tc>
        <w:tc>
          <w:tcPr>
            <w:tcW w:w="1890" w:type="dxa"/>
            <w:tcBorders>
              <w:top w:val="nil"/>
              <w:left w:val="nil"/>
              <w:bottom w:val="nil"/>
            </w:tcBorders>
            <w:shd w:val="clear" w:color="auto" w:fill="auto"/>
            <w:noWrap/>
            <w:vAlign w:val="bottom"/>
            <w:hideMark/>
          </w:tcPr>
          <w:p w14:paraId="615846D2"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-30.11%</w:t>
            </w:r>
          </w:p>
        </w:tc>
      </w:tr>
      <w:tr w:rsidR="00B913D2" w:rsidRPr="00EB70A9" w14:paraId="3DF3E95D" w14:textId="77777777" w:rsidTr="00A8079B">
        <w:trPr>
          <w:trHeight w:val="285"/>
          <w:jc w:val="center"/>
        </w:trPr>
        <w:tc>
          <w:tcPr>
            <w:tcW w:w="2430" w:type="dxa"/>
            <w:tcBorders>
              <w:top w:val="nil"/>
              <w:bottom w:val="nil"/>
              <w:right w:val="single" w:sz="4" w:space="0" w:color="auto"/>
            </w:tcBorders>
            <w:shd w:val="clear" w:color="auto" w:fill="auto"/>
            <w:noWrap/>
            <w:vAlign w:val="bottom"/>
            <w:hideMark/>
          </w:tcPr>
          <w:p w14:paraId="63E9D16C" w14:textId="77777777" w:rsidR="00B913D2" w:rsidRPr="00EB70A9" w:rsidRDefault="00B913D2" w:rsidP="00A8079B">
            <w:pPr>
              <w:spacing w:after="0" w:line="240" w:lineRule="auto"/>
              <w:rPr>
                <w:rFonts w:ascii="Calibri" w:eastAsia="Times New Roman" w:hAnsi="Calibri" w:cs="Calibri"/>
                <w:color w:val="000000"/>
                <w:sz w:val="20"/>
                <w:szCs w:val="20"/>
              </w:rPr>
            </w:pPr>
            <w:r w:rsidRPr="00EB70A9">
              <w:rPr>
                <w:rFonts w:ascii="Calibri" w:eastAsia="Times New Roman" w:hAnsi="Calibri" w:cs="Calibri"/>
                <w:color w:val="000000"/>
                <w:sz w:val="20"/>
                <w:szCs w:val="20"/>
              </w:rPr>
              <w:t>Communication Services</w:t>
            </w:r>
          </w:p>
        </w:tc>
        <w:tc>
          <w:tcPr>
            <w:tcW w:w="1800" w:type="dxa"/>
            <w:tcBorders>
              <w:top w:val="nil"/>
              <w:left w:val="single" w:sz="4" w:space="0" w:color="auto"/>
              <w:bottom w:val="nil"/>
              <w:right w:val="nil"/>
            </w:tcBorders>
            <w:shd w:val="clear" w:color="auto" w:fill="auto"/>
            <w:noWrap/>
            <w:vAlign w:val="bottom"/>
            <w:hideMark/>
          </w:tcPr>
          <w:p w14:paraId="1C14165F"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70.97%</w:t>
            </w:r>
          </w:p>
        </w:tc>
        <w:tc>
          <w:tcPr>
            <w:tcW w:w="1620" w:type="dxa"/>
            <w:tcBorders>
              <w:top w:val="nil"/>
              <w:left w:val="nil"/>
              <w:bottom w:val="nil"/>
              <w:right w:val="nil"/>
            </w:tcBorders>
            <w:shd w:val="clear" w:color="auto" w:fill="auto"/>
            <w:noWrap/>
            <w:vAlign w:val="bottom"/>
            <w:hideMark/>
          </w:tcPr>
          <w:p w14:paraId="49AAF0D6"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66.33%</w:t>
            </w:r>
          </w:p>
        </w:tc>
        <w:tc>
          <w:tcPr>
            <w:tcW w:w="1890" w:type="dxa"/>
            <w:tcBorders>
              <w:top w:val="nil"/>
              <w:left w:val="nil"/>
              <w:bottom w:val="nil"/>
            </w:tcBorders>
            <w:shd w:val="clear" w:color="auto" w:fill="auto"/>
            <w:noWrap/>
            <w:vAlign w:val="bottom"/>
            <w:hideMark/>
          </w:tcPr>
          <w:p w14:paraId="3DE60FAB"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-33.67%</w:t>
            </w:r>
          </w:p>
        </w:tc>
      </w:tr>
      <w:tr w:rsidR="00B913D2" w:rsidRPr="00EB70A9" w14:paraId="4C3A713D" w14:textId="77777777" w:rsidTr="00A8079B">
        <w:trPr>
          <w:trHeight w:val="285"/>
          <w:jc w:val="center"/>
        </w:trPr>
        <w:tc>
          <w:tcPr>
            <w:tcW w:w="2430" w:type="dxa"/>
            <w:tcBorders>
              <w:top w:val="nil"/>
              <w:bottom w:val="nil"/>
              <w:right w:val="single" w:sz="4" w:space="0" w:color="auto"/>
            </w:tcBorders>
            <w:shd w:val="clear" w:color="auto" w:fill="auto"/>
            <w:noWrap/>
            <w:vAlign w:val="bottom"/>
            <w:hideMark/>
          </w:tcPr>
          <w:p w14:paraId="514C713F" w14:textId="77777777" w:rsidR="00B913D2" w:rsidRPr="00EB70A9" w:rsidRDefault="00B913D2" w:rsidP="00A8079B">
            <w:pPr>
              <w:spacing w:after="0" w:line="240" w:lineRule="auto"/>
              <w:rPr>
                <w:rFonts w:ascii="Calibri" w:eastAsia="Times New Roman" w:hAnsi="Calibri" w:cs="Calibri"/>
                <w:color w:val="000000"/>
                <w:sz w:val="20"/>
                <w:szCs w:val="20"/>
              </w:rPr>
            </w:pPr>
            <w:r w:rsidRPr="00EB70A9">
              <w:rPr>
                <w:rFonts w:ascii="Calibri" w:eastAsia="Times New Roman" w:hAnsi="Calibri" w:cs="Calibri"/>
                <w:color w:val="000000"/>
                <w:sz w:val="20"/>
                <w:szCs w:val="20"/>
              </w:rPr>
              <w:t>Information Technology</w:t>
            </w:r>
          </w:p>
        </w:tc>
        <w:tc>
          <w:tcPr>
            <w:tcW w:w="1800" w:type="dxa"/>
            <w:tcBorders>
              <w:top w:val="nil"/>
              <w:left w:val="single" w:sz="4" w:space="0" w:color="auto"/>
              <w:bottom w:val="nil"/>
              <w:right w:val="nil"/>
            </w:tcBorders>
            <w:shd w:val="clear" w:color="auto" w:fill="auto"/>
            <w:noWrap/>
            <w:vAlign w:val="bottom"/>
            <w:hideMark/>
          </w:tcPr>
          <w:p w14:paraId="7CA15D44"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69.34%</w:t>
            </w:r>
          </w:p>
        </w:tc>
        <w:tc>
          <w:tcPr>
            <w:tcW w:w="1620" w:type="dxa"/>
            <w:tcBorders>
              <w:top w:val="nil"/>
              <w:left w:val="nil"/>
              <w:bottom w:val="nil"/>
              <w:right w:val="nil"/>
            </w:tcBorders>
            <w:shd w:val="clear" w:color="auto" w:fill="auto"/>
            <w:noWrap/>
            <w:vAlign w:val="bottom"/>
            <w:hideMark/>
          </w:tcPr>
          <w:p w14:paraId="558402AC"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66.58%</w:t>
            </w:r>
          </w:p>
        </w:tc>
        <w:tc>
          <w:tcPr>
            <w:tcW w:w="1890" w:type="dxa"/>
            <w:tcBorders>
              <w:top w:val="nil"/>
              <w:left w:val="nil"/>
              <w:bottom w:val="nil"/>
            </w:tcBorders>
            <w:shd w:val="clear" w:color="auto" w:fill="auto"/>
            <w:noWrap/>
            <w:vAlign w:val="bottom"/>
            <w:hideMark/>
          </w:tcPr>
          <w:p w14:paraId="44675BD2"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-33.42%</w:t>
            </w:r>
          </w:p>
        </w:tc>
      </w:tr>
      <w:tr w:rsidR="00B913D2" w:rsidRPr="00EB70A9" w14:paraId="020C6472" w14:textId="77777777" w:rsidTr="00A8079B">
        <w:trPr>
          <w:trHeight w:val="285"/>
          <w:jc w:val="center"/>
        </w:trPr>
        <w:tc>
          <w:tcPr>
            <w:tcW w:w="2430" w:type="dxa"/>
            <w:tcBorders>
              <w:top w:val="nil"/>
              <w:bottom w:val="nil"/>
              <w:right w:val="single" w:sz="4" w:space="0" w:color="auto"/>
            </w:tcBorders>
            <w:shd w:val="clear" w:color="000000" w:fill="C6E0B4"/>
            <w:noWrap/>
            <w:vAlign w:val="bottom"/>
            <w:hideMark/>
          </w:tcPr>
          <w:p w14:paraId="791704DA" w14:textId="77777777" w:rsidR="00B913D2" w:rsidRPr="00EB70A9" w:rsidRDefault="00B913D2" w:rsidP="00A8079B">
            <w:pPr>
              <w:spacing w:after="0" w:line="240" w:lineRule="auto"/>
              <w:rPr>
                <w:rFonts w:ascii="Calibri" w:eastAsia="Times New Roman" w:hAnsi="Calibri" w:cs="Calibri"/>
                <w:color w:val="000000"/>
                <w:sz w:val="20"/>
                <w:szCs w:val="20"/>
              </w:rPr>
            </w:pPr>
            <w:r w:rsidRPr="00EB70A9">
              <w:rPr>
                <w:rFonts w:ascii="Calibri" w:eastAsia="Times New Roman" w:hAnsi="Calibri" w:cs="Calibri"/>
                <w:color w:val="000000"/>
                <w:sz w:val="20"/>
                <w:szCs w:val="20"/>
              </w:rPr>
              <w:t>Consumer Discretionary</w:t>
            </w:r>
          </w:p>
        </w:tc>
        <w:tc>
          <w:tcPr>
            <w:tcW w:w="1800" w:type="dxa"/>
            <w:tcBorders>
              <w:top w:val="nil"/>
              <w:left w:val="single" w:sz="4" w:space="0" w:color="auto"/>
              <w:bottom w:val="nil"/>
              <w:right w:val="nil"/>
            </w:tcBorders>
            <w:shd w:val="clear" w:color="000000" w:fill="C6E0B4"/>
            <w:noWrap/>
            <w:vAlign w:val="bottom"/>
            <w:hideMark/>
          </w:tcPr>
          <w:p w14:paraId="03221B48"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68.83%</w:t>
            </w:r>
          </w:p>
        </w:tc>
        <w:tc>
          <w:tcPr>
            <w:tcW w:w="1620" w:type="dxa"/>
            <w:tcBorders>
              <w:top w:val="nil"/>
              <w:left w:val="nil"/>
              <w:bottom w:val="nil"/>
              <w:right w:val="nil"/>
            </w:tcBorders>
            <w:shd w:val="clear" w:color="000000" w:fill="C6E0B4"/>
            <w:noWrap/>
            <w:vAlign w:val="bottom"/>
            <w:hideMark/>
          </w:tcPr>
          <w:p w14:paraId="4E7D44D7"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52.29%</w:t>
            </w:r>
          </w:p>
        </w:tc>
        <w:tc>
          <w:tcPr>
            <w:tcW w:w="1890" w:type="dxa"/>
            <w:tcBorders>
              <w:top w:val="nil"/>
              <w:left w:val="nil"/>
              <w:bottom w:val="nil"/>
            </w:tcBorders>
            <w:shd w:val="clear" w:color="000000" w:fill="C6E0B4"/>
            <w:noWrap/>
            <w:vAlign w:val="bottom"/>
            <w:hideMark/>
          </w:tcPr>
          <w:p w14:paraId="36C6C1FA"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-47.71%</w:t>
            </w:r>
          </w:p>
        </w:tc>
      </w:tr>
      <w:tr w:rsidR="00B913D2" w:rsidRPr="00EB70A9" w14:paraId="4A926D67" w14:textId="77777777" w:rsidTr="00A8079B">
        <w:trPr>
          <w:trHeight w:val="285"/>
          <w:jc w:val="center"/>
        </w:trPr>
        <w:tc>
          <w:tcPr>
            <w:tcW w:w="2430" w:type="dxa"/>
            <w:tcBorders>
              <w:top w:val="nil"/>
              <w:bottom w:val="nil"/>
              <w:right w:val="single" w:sz="4" w:space="0" w:color="auto"/>
            </w:tcBorders>
            <w:shd w:val="clear" w:color="auto" w:fill="auto"/>
            <w:noWrap/>
            <w:vAlign w:val="bottom"/>
            <w:hideMark/>
          </w:tcPr>
          <w:p w14:paraId="30762DFA" w14:textId="77777777" w:rsidR="00B913D2" w:rsidRPr="00EB70A9" w:rsidRDefault="00B913D2" w:rsidP="00A8079B">
            <w:pPr>
              <w:spacing w:after="0" w:line="240" w:lineRule="auto"/>
              <w:rPr>
                <w:rFonts w:ascii="Calibri" w:eastAsia="Times New Roman" w:hAnsi="Calibri" w:cs="Calibri"/>
                <w:color w:val="000000"/>
                <w:sz w:val="20"/>
                <w:szCs w:val="20"/>
              </w:rPr>
            </w:pPr>
            <w:r w:rsidRPr="00EB70A9">
              <w:rPr>
                <w:rFonts w:ascii="Calibri" w:eastAsia="Times New Roman" w:hAnsi="Calibri" w:cs="Calibri"/>
                <w:color w:val="000000"/>
                <w:sz w:val="20"/>
                <w:szCs w:val="20"/>
              </w:rPr>
              <w:t>Utilities</w:t>
            </w:r>
          </w:p>
        </w:tc>
        <w:tc>
          <w:tcPr>
            <w:tcW w:w="1800" w:type="dxa"/>
            <w:tcBorders>
              <w:top w:val="nil"/>
              <w:left w:val="single" w:sz="4" w:space="0" w:color="auto"/>
              <w:bottom w:val="nil"/>
              <w:right w:val="nil"/>
            </w:tcBorders>
            <w:shd w:val="clear" w:color="auto" w:fill="auto"/>
            <w:noWrap/>
            <w:vAlign w:val="bottom"/>
            <w:hideMark/>
          </w:tcPr>
          <w:p w14:paraId="40CE8B04"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63.93%</w:t>
            </w:r>
          </w:p>
        </w:tc>
        <w:tc>
          <w:tcPr>
            <w:tcW w:w="1620" w:type="dxa"/>
            <w:tcBorders>
              <w:top w:val="nil"/>
              <w:left w:val="nil"/>
              <w:bottom w:val="nil"/>
              <w:right w:val="nil"/>
            </w:tcBorders>
            <w:shd w:val="clear" w:color="auto" w:fill="auto"/>
            <w:noWrap/>
            <w:vAlign w:val="bottom"/>
            <w:hideMark/>
          </w:tcPr>
          <w:p w14:paraId="4EB7F5F7"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63.18%</w:t>
            </w:r>
          </w:p>
        </w:tc>
        <w:tc>
          <w:tcPr>
            <w:tcW w:w="1890" w:type="dxa"/>
            <w:tcBorders>
              <w:top w:val="nil"/>
              <w:left w:val="nil"/>
              <w:bottom w:val="nil"/>
            </w:tcBorders>
            <w:shd w:val="clear" w:color="auto" w:fill="auto"/>
            <w:noWrap/>
            <w:vAlign w:val="bottom"/>
            <w:hideMark/>
          </w:tcPr>
          <w:p w14:paraId="0263D296"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-36.82%</w:t>
            </w:r>
          </w:p>
        </w:tc>
      </w:tr>
      <w:tr w:rsidR="00B913D2" w:rsidRPr="00EB70A9" w14:paraId="7C16E414" w14:textId="77777777" w:rsidTr="00A8079B">
        <w:trPr>
          <w:trHeight w:val="285"/>
          <w:jc w:val="center"/>
        </w:trPr>
        <w:tc>
          <w:tcPr>
            <w:tcW w:w="2430" w:type="dxa"/>
            <w:tcBorders>
              <w:top w:val="nil"/>
              <w:bottom w:val="nil"/>
              <w:right w:val="single" w:sz="4" w:space="0" w:color="auto"/>
            </w:tcBorders>
            <w:shd w:val="clear" w:color="auto" w:fill="auto"/>
            <w:noWrap/>
            <w:vAlign w:val="bottom"/>
            <w:hideMark/>
          </w:tcPr>
          <w:p w14:paraId="6E7BE900" w14:textId="77777777" w:rsidR="00B913D2" w:rsidRPr="00EB70A9" w:rsidRDefault="00B913D2" w:rsidP="00A8079B">
            <w:pPr>
              <w:spacing w:after="0" w:line="240" w:lineRule="auto"/>
              <w:rPr>
                <w:rFonts w:ascii="Calibri" w:eastAsia="Times New Roman" w:hAnsi="Calibri" w:cs="Calibri"/>
                <w:color w:val="000000"/>
                <w:sz w:val="20"/>
                <w:szCs w:val="20"/>
              </w:rPr>
            </w:pPr>
            <w:r w:rsidRPr="00EB70A9">
              <w:rPr>
                <w:rFonts w:ascii="Calibri" w:eastAsia="Times New Roman" w:hAnsi="Calibri" w:cs="Calibri"/>
                <w:color w:val="000000"/>
                <w:sz w:val="20"/>
                <w:szCs w:val="20"/>
              </w:rPr>
              <w:t>Materials</w:t>
            </w:r>
          </w:p>
        </w:tc>
        <w:tc>
          <w:tcPr>
            <w:tcW w:w="1800" w:type="dxa"/>
            <w:tcBorders>
              <w:top w:val="nil"/>
              <w:left w:val="single" w:sz="4" w:space="0" w:color="auto"/>
              <w:bottom w:val="nil"/>
              <w:right w:val="nil"/>
            </w:tcBorders>
            <w:shd w:val="clear" w:color="auto" w:fill="auto"/>
            <w:noWrap/>
            <w:vAlign w:val="bottom"/>
            <w:hideMark/>
          </w:tcPr>
          <w:p w14:paraId="22A69B04"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63.25%</w:t>
            </w:r>
          </w:p>
        </w:tc>
        <w:tc>
          <w:tcPr>
            <w:tcW w:w="1620" w:type="dxa"/>
            <w:tcBorders>
              <w:top w:val="nil"/>
              <w:left w:val="nil"/>
              <w:bottom w:val="nil"/>
              <w:right w:val="nil"/>
            </w:tcBorders>
            <w:shd w:val="clear" w:color="auto" w:fill="auto"/>
            <w:noWrap/>
            <w:vAlign w:val="bottom"/>
            <w:hideMark/>
          </w:tcPr>
          <w:p w14:paraId="6C959F39"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61.32%</w:t>
            </w:r>
          </w:p>
        </w:tc>
        <w:tc>
          <w:tcPr>
            <w:tcW w:w="1890" w:type="dxa"/>
            <w:tcBorders>
              <w:top w:val="nil"/>
              <w:left w:val="nil"/>
              <w:bottom w:val="nil"/>
            </w:tcBorders>
            <w:shd w:val="clear" w:color="auto" w:fill="auto"/>
            <w:noWrap/>
            <w:vAlign w:val="bottom"/>
            <w:hideMark/>
          </w:tcPr>
          <w:p w14:paraId="430A4571"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-38.68%</w:t>
            </w:r>
          </w:p>
        </w:tc>
      </w:tr>
      <w:tr w:rsidR="00B913D2" w:rsidRPr="00EB70A9" w14:paraId="006B48C5" w14:textId="77777777" w:rsidTr="00A8079B">
        <w:trPr>
          <w:trHeight w:val="285"/>
          <w:jc w:val="center"/>
        </w:trPr>
        <w:tc>
          <w:tcPr>
            <w:tcW w:w="2430" w:type="dxa"/>
            <w:tcBorders>
              <w:top w:val="nil"/>
              <w:bottom w:val="nil"/>
              <w:right w:val="single" w:sz="4" w:space="0" w:color="auto"/>
            </w:tcBorders>
            <w:shd w:val="clear" w:color="auto" w:fill="auto"/>
            <w:noWrap/>
            <w:vAlign w:val="bottom"/>
            <w:hideMark/>
          </w:tcPr>
          <w:p w14:paraId="1538BFEA" w14:textId="77777777" w:rsidR="00B913D2" w:rsidRPr="00EB70A9" w:rsidRDefault="00B913D2" w:rsidP="00A8079B">
            <w:pPr>
              <w:spacing w:after="0" w:line="240" w:lineRule="auto"/>
              <w:rPr>
                <w:rFonts w:ascii="Calibri" w:eastAsia="Times New Roman" w:hAnsi="Calibri" w:cs="Calibri"/>
                <w:color w:val="000000"/>
                <w:sz w:val="20"/>
                <w:szCs w:val="20"/>
              </w:rPr>
            </w:pPr>
            <w:r w:rsidRPr="00EB70A9">
              <w:rPr>
                <w:rFonts w:ascii="Calibri" w:eastAsia="Times New Roman" w:hAnsi="Calibri" w:cs="Calibri"/>
                <w:color w:val="000000"/>
                <w:sz w:val="20"/>
                <w:szCs w:val="20"/>
              </w:rPr>
              <w:t>Real Estate</w:t>
            </w:r>
          </w:p>
        </w:tc>
        <w:tc>
          <w:tcPr>
            <w:tcW w:w="1800" w:type="dxa"/>
            <w:tcBorders>
              <w:top w:val="nil"/>
              <w:left w:val="single" w:sz="4" w:space="0" w:color="auto"/>
              <w:bottom w:val="nil"/>
              <w:right w:val="nil"/>
            </w:tcBorders>
            <w:shd w:val="clear" w:color="auto" w:fill="auto"/>
            <w:noWrap/>
            <w:vAlign w:val="bottom"/>
            <w:hideMark/>
          </w:tcPr>
          <w:p w14:paraId="3D27362C"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60.95%</w:t>
            </w:r>
          </w:p>
        </w:tc>
        <w:tc>
          <w:tcPr>
            <w:tcW w:w="1620" w:type="dxa"/>
            <w:tcBorders>
              <w:top w:val="nil"/>
              <w:left w:val="nil"/>
              <w:bottom w:val="nil"/>
              <w:right w:val="nil"/>
            </w:tcBorders>
            <w:shd w:val="clear" w:color="auto" w:fill="auto"/>
            <w:noWrap/>
            <w:vAlign w:val="bottom"/>
            <w:hideMark/>
          </w:tcPr>
          <w:p w14:paraId="2455F85F"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57.60%</w:t>
            </w:r>
          </w:p>
        </w:tc>
        <w:tc>
          <w:tcPr>
            <w:tcW w:w="1890" w:type="dxa"/>
            <w:tcBorders>
              <w:top w:val="nil"/>
              <w:left w:val="nil"/>
              <w:bottom w:val="nil"/>
            </w:tcBorders>
            <w:shd w:val="clear" w:color="auto" w:fill="auto"/>
            <w:noWrap/>
            <w:vAlign w:val="bottom"/>
            <w:hideMark/>
          </w:tcPr>
          <w:p w14:paraId="11262BCE"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-42.40%</w:t>
            </w:r>
          </w:p>
        </w:tc>
      </w:tr>
      <w:tr w:rsidR="00B913D2" w:rsidRPr="00EB70A9" w14:paraId="7173F7CE" w14:textId="77777777" w:rsidTr="00A8079B">
        <w:trPr>
          <w:trHeight w:val="293"/>
          <w:jc w:val="center"/>
        </w:trPr>
        <w:tc>
          <w:tcPr>
            <w:tcW w:w="2430" w:type="dxa"/>
            <w:tcBorders>
              <w:top w:val="nil"/>
              <w:bottom w:val="nil"/>
              <w:right w:val="single" w:sz="4" w:space="0" w:color="auto"/>
            </w:tcBorders>
            <w:shd w:val="clear" w:color="auto" w:fill="auto"/>
            <w:noWrap/>
            <w:vAlign w:val="bottom"/>
            <w:hideMark/>
          </w:tcPr>
          <w:p w14:paraId="2ED35342" w14:textId="77777777" w:rsidR="00B913D2" w:rsidRPr="00EB70A9" w:rsidRDefault="00B913D2" w:rsidP="00A8079B">
            <w:pPr>
              <w:spacing w:after="0" w:line="240" w:lineRule="auto"/>
              <w:rPr>
                <w:rFonts w:ascii="Calibri" w:eastAsia="Times New Roman" w:hAnsi="Calibri" w:cs="Calibri"/>
                <w:color w:val="000000"/>
                <w:sz w:val="20"/>
                <w:szCs w:val="20"/>
              </w:rPr>
            </w:pPr>
            <w:r w:rsidRPr="00EB70A9">
              <w:rPr>
                <w:rFonts w:ascii="Calibri" w:eastAsia="Times New Roman" w:hAnsi="Calibri" w:cs="Calibri"/>
                <w:color w:val="000000"/>
                <w:sz w:val="20"/>
                <w:szCs w:val="20"/>
              </w:rPr>
              <w:t>Industrials</w:t>
            </w:r>
          </w:p>
        </w:tc>
        <w:tc>
          <w:tcPr>
            <w:tcW w:w="1800" w:type="dxa"/>
            <w:tcBorders>
              <w:top w:val="nil"/>
              <w:left w:val="single" w:sz="4" w:space="0" w:color="auto"/>
              <w:bottom w:val="nil"/>
              <w:right w:val="nil"/>
            </w:tcBorders>
            <w:shd w:val="clear" w:color="auto" w:fill="auto"/>
            <w:noWrap/>
            <w:vAlign w:val="bottom"/>
            <w:hideMark/>
          </w:tcPr>
          <w:p w14:paraId="7C2DCC76"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57.78%</w:t>
            </w:r>
          </w:p>
        </w:tc>
        <w:tc>
          <w:tcPr>
            <w:tcW w:w="1620" w:type="dxa"/>
            <w:tcBorders>
              <w:top w:val="nil"/>
              <w:left w:val="nil"/>
              <w:bottom w:val="nil"/>
              <w:right w:val="nil"/>
            </w:tcBorders>
            <w:shd w:val="clear" w:color="auto" w:fill="auto"/>
            <w:noWrap/>
            <w:vAlign w:val="bottom"/>
            <w:hideMark/>
          </w:tcPr>
          <w:p w14:paraId="0409CD22"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58.50%</w:t>
            </w:r>
          </w:p>
        </w:tc>
        <w:tc>
          <w:tcPr>
            <w:tcW w:w="1890" w:type="dxa"/>
            <w:tcBorders>
              <w:top w:val="nil"/>
              <w:left w:val="nil"/>
              <w:bottom w:val="nil"/>
            </w:tcBorders>
            <w:shd w:val="clear" w:color="auto" w:fill="auto"/>
            <w:noWrap/>
            <w:vAlign w:val="bottom"/>
            <w:hideMark/>
          </w:tcPr>
          <w:p w14:paraId="070F4FC5"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-41.50%</w:t>
            </w:r>
          </w:p>
        </w:tc>
      </w:tr>
      <w:tr w:rsidR="00B913D2" w:rsidRPr="00EB70A9" w14:paraId="2B88A772" w14:textId="77777777" w:rsidTr="00A8079B">
        <w:trPr>
          <w:trHeight w:val="285"/>
          <w:jc w:val="center"/>
        </w:trPr>
        <w:tc>
          <w:tcPr>
            <w:tcW w:w="2430" w:type="dxa"/>
            <w:tcBorders>
              <w:top w:val="nil"/>
              <w:bottom w:val="nil"/>
              <w:right w:val="single" w:sz="4" w:space="0" w:color="auto"/>
            </w:tcBorders>
            <w:shd w:val="clear" w:color="auto" w:fill="auto"/>
            <w:noWrap/>
            <w:vAlign w:val="bottom"/>
            <w:hideMark/>
          </w:tcPr>
          <w:p w14:paraId="08F67F5E" w14:textId="77777777" w:rsidR="00B913D2" w:rsidRPr="00EB70A9" w:rsidRDefault="00B913D2" w:rsidP="00A8079B">
            <w:pPr>
              <w:spacing w:after="0" w:line="240" w:lineRule="auto"/>
              <w:rPr>
                <w:rFonts w:ascii="Calibri" w:eastAsia="Times New Roman" w:hAnsi="Calibri" w:cs="Calibri"/>
                <w:color w:val="000000"/>
                <w:sz w:val="20"/>
                <w:szCs w:val="20"/>
              </w:rPr>
            </w:pPr>
            <w:r w:rsidRPr="00EB70A9">
              <w:rPr>
                <w:rFonts w:ascii="Calibri" w:eastAsia="Times New Roman" w:hAnsi="Calibri" w:cs="Calibri"/>
                <w:color w:val="000000"/>
                <w:sz w:val="20"/>
                <w:szCs w:val="20"/>
              </w:rPr>
              <w:t>Financials</w:t>
            </w:r>
          </w:p>
        </w:tc>
        <w:tc>
          <w:tcPr>
            <w:tcW w:w="1800" w:type="dxa"/>
            <w:tcBorders>
              <w:top w:val="nil"/>
              <w:left w:val="single" w:sz="4" w:space="0" w:color="auto"/>
              <w:bottom w:val="nil"/>
              <w:right w:val="nil"/>
            </w:tcBorders>
            <w:shd w:val="clear" w:color="auto" w:fill="auto"/>
            <w:noWrap/>
            <w:vAlign w:val="bottom"/>
            <w:hideMark/>
          </w:tcPr>
          <w:p w14:paraId="7380F16B"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57.15%</w:t>
            </w:r>
          </w:p>
        </w:tc>
        <w:tc>
          <w:tcPr>
            <w:tcW w:w="1620" w:type="dxa"/>
            <w:tcBorders>
              <w:top w:val="nil"/>
              <w:left w:val="nil"/>
              <w:bottom w:val="nil"/>
              <w:right w:val="nil"/>
            </w:tcBorders>
            <w:shd w:val="clear" w:color="auto" w:fill="auto"/>
            <w:noWrap/>
            <w:vAlign w:val="bottom"/>
            <w:hideMark/>
          </w:tcPr>
          <w:p w14:paraId="34BA7F85"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54.69%</w:t>
            </w:r>
          </w:p>
        </w:tc>
        <w:tc>
          <w:tcPr>
            <w:tcW w:w="1890" w:type="dxa"/>
            <w:tcBorders>
              <w:top w:val="nil"/>
              <w:left w:val="nil"/>
              <w:bottom w:val="nil"/>
            </w:tcBorders>
            <w:shd w:val="clear" w:color="auto" w:fill="auto"/>
            <w:noWrap/>
            <w:vAlign w:val="bottom"/>
            <w:hideMark/>
          </w:tcPr>
          <w:p w14:paraId="71BAEFA6"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-45.31%</w:t>
            </w:r>
          </w:p>
        </w:tc>
      </w:tr>
      <w:tr w:rsidR="00B913D2" w:rsidRPr="00EB70A9" w14:paraId="180B3729" w14:textId="77777777" w:rsidTr="00A8079B">
        <w:trPr>
          <w:trHeight w:val="293"/>
          <w:jc w:val="center"/>
        </w:trPr>
        <w:tc>
          <w:tcPr>
            <w:tcW w:w="2430" w:type="dxa"/>
            <w:tcBorders>
              <w:top w:val="nil"/>
              <w:right w:val="single" w:sz="4" w:space="0" w:color="auto"/>
            </w:tcBorders>
            <w:shd w:val="clear" w:color="auto" w:fill="auto"/>
            <w:noWrap/>
            <w:vAlign w:val="bottom"/>
            <w:hideMark/>
          </w:tcPr>
          <w:p w14:paraId="348C88DF" w14:textId="77777777" w:rsidR="00B913D2" w:rsidRPr="00EB70A9" w:rsidRDefault="00B913D2" w:rsidP="00A8079B">
            <w:pPr>
              <w:spacing w:after="0" w:line="240" w:lineRule="auto"/>
              <w:rPr>
                <w:rFonts w:ascii="Calibri" w:eastAsia="Times New Roman" w:hAnsi="Calibri" w:cs="Calibri"/>
                <w:color w:val="000000"/>
                <w:sz w:val="20"/>
                <w:szCs w:val="20"/>
              </w:rPr>
            </w:pPr>
            <w:r w:rsidRPr="00EB70A9">
              <w:rPr>
                <w:rFonts w:ascii="Calibri" w:eastAsia="Times New Roman" w:hAnsi="Calibri" w:cs="Calibri"/>
                <w:color w:val="000000"/>
                <w:sz w:val="20"/>
                <w:szCs w:val="20"/>
              </w:rPr>
              <w:t>Energy</w:t>
            </w:r>
          </w:p>
        </w:tc>
        <w:tc>
          <w:tcPr>
            <w:tcW w:w="1800" w:type="dxa"/>
            <w:tcBorders>
              <w:top w:val="nil"/>
              <w:left w:val="single" w:sz="4" w:space="0" w:color="auto"/>
              <w:right w:val="nil"/>
            </w:tcBorders>
            <w:shd w:val="clear" w:color="auto" w:fill="auto"/>
            <w:noWrap/>
            <w:vAlign w:val="bottom"/>
            <w:hideMark/>
          </w:tcPr>
          <w:p w14:paraId="0E6B9F4B"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44.29%</w:t>
            </w:r>
          </w:p>
        </w:tc>
        <w:tc>
          <w:tcPr>
            <w:tcW w:w="1620" w:type="dxa"/>
            <w:tcBorders>
              <w:top w:val="nil"/>
              <w:left w:val="nil"/>
              <w:right w:val="nil"/>
            </w:tcBorders>
            <w:shd w:val="clear" w:color="auto" w:fill="auto"/>
            <w:noWrap/>
            <w:vAlign w:val="bottom"/>
            <w:hideMark/>
          </w:tcPr>
          <w:p w14:paraId="51CAB046"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39.73%</w:t>
            </w:r>
          </w:p>
        </w:tc>
        <w:tc>
          <w:tcPr>
            <w:tcW w:w="1890" w:type="dxa"/>
            <w:tcBorders>
              <w:top w:val="nil"/>
              <w:left w:val="nil"/>
            </w:tcBorders>
            <w:shd w:val="clear" w:color="auto" w:fill="auto"/>
            <w:noWrap/>
            <w:vAlign w:val="bottom"/>
            <w:hideMark/>
          </w:tcPr>
          <w:p w14:paraId="67D957D3" w14:textId="77777777" w:rsidR="00B913D2" w:rsidRPr="00EB70A9" w:rsidRDefault="00B913D2" w:rsidP="00A8079B">
            <w:pPr>
              <w:spacing w:after="0" w:line="240" w:lineRule="auto"/>
              <w:jc w:val="center"/>
              <w:rPr>
                <w:rFonts w:ascii="Calibri" w:eastAsia="Times New Roman" w:hAnsi="Calibri" w:cs="Calibri"/>
                <w:color w:val="000000"/>
                <w:sz w:val="20"/>
                <w:szCs w:val="20"/>
              </w:rPr>
            </w:pPr>
            <w:r w:rsidRPr="00EB70A9">
              <w:rPr>
                <w:rFonts w:ascii="Calibri" w:eastAsia="Times New Roman" w:hAnsi="Calibri" w:cs="Calibri"/>
                <w:color w:val="000000"/>
                <w:sz w:val="20"/>
                <w:szCs w:val="20"/>
              </w:rPr>
              <w:t>-60.27%</w:t>
            </w:r>
          </w:p>
        </w:tc>
      </w:tr>
    </w:tbl>
    <w:p w14:paraId="0F943096" w14:textId="17FAEEAC" w:rsidR="008F0952" w:rsidRDefault="008F0952" w:rsidP="008F0952">
      <w:pPr>
        <w:rPr>
          <w:b/>
          <w:bCs/>
          <w:sz w:val="20"/>
          <w:szCs w:val="20"/>
        </w:rPr>
      </w:pPr>
    </w:p>
    <w:p w14:paraId="29277D97" w14:textId="14B42FB5" w:rsidR="00197D74" w:rsidRPr="00197D74" w:rsidRDefault="00197D74" w:rsidP="00197D74">
      <w:r w:rsidRPr="00197D74">
        <w:t>H</w:t>
      </w:r>
      <w:r>
        <w:t xml:space="preserve">owever, the Consumer Discretionary seems more immune in this crisis than some essential sectors like Utilities and Materials. </w:t>
      </w:r>
      <w:r w:rsidR="00A9457E">
        <w:t>Focusing on</w:t>
      </w:r>
      <w:r>
        <w:t xml:space="preserve"> the exact average VR, we actually can see that Consumer Discretionary </w:t>
      </w:r>
      <w:r w:rsidR="00A9457E">
        <w:t>has much lower average VR than the other two sectors</w:t>
      </w:r>
      <w:r w:rsidR="00E573BC">
        <w:rPr>
          <w:rFonts w:hint="eastAsia"/>
        </w:rPr>
        <w:t>.</w:t>
      </w:r>
      <w:r w:rsidR="00E573BC">
        <w:t xml:space="preserve"> </w:t>
      </w:r>
      <w:r w:rsidR="000C46F1">
        <w:t xml:space="preserve">The reason of this inconsistency, in our </w:t>
      </w:r>
      <w:r w:rsidR="00D218A2">
        <w:t>hypothesis</w:t>
      </w:r>
      <w:r w:rsidR="000C46F1">
        <w:t xml:space="preserve">, is that some big companies </w:t>
      </w:r>
      <w:r w:rsidR="00D218A2">
        <w:t xml:space="preserve">with large market capital </w:t>
      </w:r>
      <w:r w:rsidR="000C46F1">
        <w:t xml:space="preserve">in the Consumer Discretionary </w:t>
      </w:r>
      <w:r w:rsidR="00D218A2">
        <w:t>sector are relative</w:t>
      </w:r>
      <w:r w:rsidR="009F7CBC">
        <w:t>ly</w:t>
      </w:r>
      <w:r w:rsidR="00D218A2">
        <w:t xml:space="preserve"> immune in Coronavirus pandemics. Digging deeper in our dataset, we found that </w:t>
      </w:r>
      <w:r w:rsidR="009F7CBC">
        <w:t xml:space="preserve">companies like Amazon and Target had very large Market Cap and high VR in this crisis, where Amazon has the largest Market Cap in Consumer Discretionary sector with high retention value of 89.13%. Similarly, the VR of Target Corp. reached 82.90% with over 59 billion Market Cap. It makes sense because </w:t>
      </w:r>
      <w:r w:rsidR="00FD56DB">
        <w:t>Amazon and Target represent I</w:t>
      </w:r>
      <w:r w:rsidR="00FD56DB">
        <w:rPr>
          <w:rFonts w:hint="eastAsia"/>
        </w:rPr>
        <w:t>n</w:t>
      </w:r>
      <w:r w:rsidR="00FD56DB">
        <w:t>ternet Retail companies, who can continue their business and needless to say more immune to the global quarantines.</w:t>
      </w:r>
      <w:r w:rsidR="009F7CBC">
        <w:t xml:space="preserve"> Therefore, these large companies with high </w:t>
      </w:r>
      <w:r w:rsidR="00FD56DB">
        <w:t xml:space="preserve">economical </w:t>
      </w:r>
      <w:r w:rsidR="009F7CBC">
        <w:t>immun</w:t>
      </w:r>
      <w:r w:rsidR="00FD56DB">
        <w:t>ities contributed a lot to the weighted VR and caused the inconsistency between average VR and weighted VR.</w:t>
      </w:r>
    </w:p>
    <w:p w14:paraId="21DE6B5D" w14:textId="1E22691F" w:rsidR="008F0952" w:rsidRPr="00197D74" w:rsidRDefault="00197D74" w:rsidP="00197D74">
      <w:pPr>
        <w:rPr>
          <w:rFonts w:ascii="Calibri" w:hAnsi="Calibri" w:cs="Calibri"/>
          <w:b/>
          <w:bCs/>
          <w:color w:val="0070C0"/>
        </w:rPr>
      </w:pPr>
      <w:r>
        <w:rPr>
          <w:rFonts w:ascii="Calibri" w:hAnsi="Calibri" w:cs="Calibri"/>
          <w:b/>
          <w:bCs/>
          <w:color w:val="0070C0"/>
        </w:rPr>
        <w:t xml:space="preserve">Q2: </w:t>
      </w:r>
      <w:r w:rsidR="008F0952" w:rsidRPr="00197D74">
        <w:rPr>
          <w:rFonts w:ascii="Calibri" w:hAnsi="Calibri" w:cs="Calibri"/>
          <w:b/>
          <w:bCs/>
          <w:color w:val="0070C0"/>
        </w:rPr>
        <w:t>A Deadly Crash in Energy Sector</w:t>
      </w:r>
    </w:p>
    <w:p w14:paraId="4F51869C" w14:textId="6EED15DC" w:rsidR="008F0952" w:rsidRDefault="008F0952" w:rsidP="008F0952">
      <w:r>
        <w:t>It is very obvious that the weighted VR of Energy sector is the lowest and much lower than any other sectors.</w:t>
      </w:r>
      <w:r w:rsidR="000E24FB">
        <w:t xml:space="preserve"> In Energy sector, most companies’ main business is related to oil. Unfortunately, </w:t>
      </w:r>
      <w:bookmarkStart w:id="0" w:name="OLE_LINK1"/>
      <w:r w:rsidR="000E24FB">
        <w:t xml:space="preserve">oil price crashed as Arabia and Russia vowed to pump more in a battle for market share. The all-out price war </w:t>
      </w:r>
      <w:r w:rsidR="000E24FB">
        <w:lastRenderedPageBreak/>
        <w:t xml:space="preserve">between these two countries caused futures slumped by about 25% at the beginning of March. </w:t>
      </w:r>
      <w:r w:rsidR="002F7C29">
        <w:t xml:space="preserve">No oil related companies can hide from these extreme price falls (Figure 2.1). In particular, </w:t>
      </w:r>
      <w:r w:rsidR="002F7C29" w:rsidRPr="002F7C29">
        <w:t>explorers including Occidental Petroleum Corp. and Parsley Energy Inc. planning drilling cuts.</w:t>
      </w:r>
      <w:r w:rsidR="00181ABF">
        <w:t xml:space="preserve"> These passive expectations will lead to a predictive fall of share price. In our case, the VR of O</w:t>
      </w:r>
      <w:r w:rsidR="00181ABF">
        <w:rPr>
          <w:rFonts w:hint="eastAsia"/>
        </w:rPr>
        <w:t>cc</w:t>
      </w:r>
      <w:r w:rsidR="00181ABF">
        <w:t xml:space="preserve">idental Petroleum is merely 23.29%. </w:t>
      </w:r>
    </w:p>
    <w:p w14:paraId="15BFF18B" w14:textId="65B3ACC0" w:rsidR="002F7C29" w:rsidRPr="002F7C29" w:rsidRDefault="002F7C29" w:rsidP="002F7C29">
      <w:pPr>
        <w:jc w:val="center"/>
        <w:rPr>
          <w:sz w:val="20"/>
          <w:szCs w:val="20"/>
        </w:rPr>
      </w:pPr>
      <w:r w:rsidRPr="002F7C29">
        <w:rPr>
          <w:b/>
          <w:bCs/>
          <w:sz w:val="20"/>
          <w:szCs w:val="20"/>
        </w:rPr>
        <w:t xml:space="preserve">Figure </w:t>
      </w:r>
      <w:r>
        <w:rPr>
          <w:b/>
          <w:bCs/>
          <w:sz w:val="20"/>
          <w:szCs w:val="20"/>
        </w:rPr>
        <w:t>2</w:t>
      </w:r>
      <w:r w:rsidRPr="002F7C29">
        <w:rPr>
          <w:b/>
          <w:bCs/>
          <w:sz w:val="20"/>
          <w:szCs w:val="20"/>
        </w:rPr>
        <w:t xml:space="preserve">.1   </w:t>
      </w:r>
      <w:r w:rsidRPr="002F7C29">
        <w:rPr>
          <w:sz w:val="20"/>
          <w:szCs w:val="20"/>
        </w:rPr>
        <w:t xml:space="preserve">WTI </w:t>
      </w:r>
      <w:r>
        <w:rPr>
          <w:sz w:val="20"/>
          <w:szCs w:val="20"/>
        </w:rPr>
        <w:t xml:space="preserve">crude </w:t>
      </w:r>
      <w:r w:rsidR="00181ABF">
        <w:rPr>
          <w:sz w:val="20"/>
          <w:szCs w:val="20"/>
        </w:rPr>
        <w:t xml:space="preserve">price </w:t>
      </w:r>
      <w:r w:rsidRPr="002F7C29">
        <w:rPr>
          <w:sz w:val="20"/>
          <w:szCs w:val="20"/>
        </w:rPr>
        <w:t>(Feb. 14th – Mar. 23rd)</w:t>
      </w:r>
    </w:p>
    <w:p w14:paraId="4E5BBAD8" w14:textId="065CC607" w:rsidR="003C2557" w:rsidRDefault="003C2557" w:rsidP="008F0952">
      <w:r w:rsidRPr="003C2557">
        <w:rPr>
          <w:noProof/>
        </w:rPr>
        <w:drawing>
          <wp:inline distT="0" distB="0" distL="0" distR="0" wp14:anchorId="62E12190" wp14:editId="2F0C0F36">
            <wp:extent cx="5806991" cy="240475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3764" cy="2407559"/>
                    </a:xfrm>
                    <a:prstGeom prst="rect">
                      <a:avLst/>
                    </a:prstGeom>
                    <a:noFill/>
                    <a:ln>
                      <a:noFill/>
                    </a:ln>
                  </pic:spPr>
                </pic:pic>
              </a:graphicData>
            </a:graphic>
          </wp:inline>
        </w:drawing>
      </w:r>
    </w:p>
    <w:bookmarkEnd w:id="0"/>
    <w:p w14:paraId="26AA2652" w14:textId="29275447" w:rsidR="008F0952" w:rsidRDefault="00181ABF" w:rsidP="008F0952">
      <w:r>
        <w:t xml:space="preserve">What’s more, the higher cost of producing shale oil </w:t>
      </w:r>
      <w:r w:rsidR="00AB0242">
        <w:t xml:space="preserve">makes US companies vulnerable to prolonged price wars. According to consultancy </w:t>
      </w:r>
      <w:proofErr w:type="spellStart"/>
      <w:r w:rsidR="00AB0242">
        <w:t>Rystad</w:t>
      </w:r>
      <w:proofErr w:type="spellEnd"/>
      <w:r w:rsidR="00AB0242">
        <w:t xml:space="preserve"> Energy, j</w:t>
      </w:r>
      <w:r w:rsidR="00AB0242" w:rsidRPr="00AB0242">
        <w:t>ust 16 U.S. shale companies operate in fields where the average new well costs are below $35 per barre</w:t>
      </w:r>
      <w:r w:rsidR="00AB0242">
        <w:t xml:space="preserve">l. Most of the shale producers had expectations for oil between $55 and $65 per barrel in 2020, so the price fall </w:t>
      </w:r>
      <w:r w:rsidR="003542E1">
        <w:t xml:space="preserve">puts them in a very dangerous point that they will not be able to shoulder their high debt load. Due to these reasons, few investors could be confident in the energy corporations, and it is foreseeable that slumped share price and the shrinkage of retention value. </w:t>
      </w:r>
    </w:p>
    <w:p w14:paraId="179A6534" w14:textId="77777777" w:rsidR="00181ABF" w:rsidRDefault="00181ABF" w:rsidP="008F0952"/>
    <w:p w14:paraId="017D8668" w14:textId="016D0D57" w:rsidR="008F0952" w:rsidRPr="00197D74" w:rsidRDefault="00197D74" w:rsidP="00197D74">
      <w:pPr>
        <w:rPr>
          <w:rFonts w:ascii="Calibri" w:hAnsi="Calibri" w:cs="Calibri"/>
          <w:b/>
          <w:bCs/>
          <w:color w:val="0070C0"/>
        </w:rPr>
      </w:pPr>
      <w:r>
        <w:rPr>
          <w:rFonts w:ascii="Calibri" w:hAnsi="Calibri" w:cs="Calibri"/>
          <w:b/>
          <w:bCs/>
          <w:color w:val="0070C0"/>
        </w:rPr>
        <w:t xml:space="preserve">Q3: </w:t>
      </w:r>
      <w:r w:rsidR="008F0952" w:rsidRPr="00197D74">
        <w:rPr>
          <w:rFonts w:ascii="Calibri" w:hAnsi="Calibri" w:cs="Calibri"/>
          <w:b/>
          <w:bCs/>
          <w:color w:val="0070C0"/>
        </w:rPr>
        <w:t>Financial Sector Crash</w:t>
      </w:r>
    </w:p>
    <w:p w14:paraId="55F33A7A" w14:textId="3E691C25" w:rsidR="008F0952" w:rsidRDefault="00BD71C1" w:rsidP="008F0952">
      <w:r>
        <w:t xml:space="preserve">Although it is not as severe as what happened in the energy industry, the financial sector has faced a similar dangerous inability in value retention during these global events. </w:t>
      </w:r>
      <w:r w:rsidR="00A656E9">
        <w:t>Facing this outside shock, Federal Reserve try to</w:t>
      </w:r>
      <w:r w:rsidR="00A656E9" w:rsidRPr="00A656E9">
        <w:t xml:space="preserve"> limit damage and promote recovery in several ways.</w:t>
      </w:r>
      <w:r w:rsidR="00A656E9">
        <w:t xml:space="preserve"> One of the most important actions is to lower its target interest rate by a </w:t>
      </w:r>
      <w:r w:rsidR="00A656E9" w:rsidRPr="00A656E9">
        <w:t>full percentage point nearly to zero</w:t>
      </w:r>
      <w:r w:rsidR="00A656E9">
        <w:t xml:space="preserve"> and provide guidance that rates would remain at this level </w:t>
      </w:r>
      <w:r w:rsidR="00882329">
        <w:t xml:space="preserve">until the economy is confident to weather the events. </w:t>
      </w:r>
      <w:r w:rsidR="00CC3A80">
        <w:t xml:space="preserve">The Fed has not taken such drastic actions since the Great Financial Crisis. </w:t>
      </w:r>
      <w:r w:rsidR="00882329">
        <w:t xml:space="preserve">This monetary policy could boost the currency liquidity and </w:t>
      </w:r>
      <w:r w:rsidR="000F697C" w:rsidRPr="000F697C">
        <w:t xml:space="preserve">support the flow of credit to households and businesses </w:t>
      </w:r>
      <w:r w:rsidR="000F697C">
        <w:t xml:space="preserve">which aims to </w:t>
      </w:r>
      <w:r w:rsidR="00882329">
        <w:t xml:space="preserve">help the economy </w:t>
      </w:r>
      <w:r w:rsidR="000F697C">
        <w:t xml:space="preserve">to </w:t>
      </w:r>
      <w:r w:rsidR="00882329">
        <w:t xml:space="preserve">recover. However, the downside is that the banking systems will have much lower </w:t>
      </w:r>
      <w:r w:rsidR="000F697C">
        <w:t xml:space="preserve">profit due to the low interest rates. Although </w:t>
      </w:r>
      <w:r w:rsidR="00CC3A80">
        <w:t xml:space="preserve">the Fed has reduced banks’ </w:t>
      </w:r>
      <w:r w:rsidR="00CC3A80" w:rsidRPr="00CC3A80">
        <w:t>reserve requirements to zero</w:t>
      </w:r>
      <w:r w:rsidR="00CC3A80">
        <w:t xml:space="preserve"> in order to encourage banks to extend loans, the requirements were already very low that this action will not be as useful as expected. </w:t>
      </w:r>
    </w:p>
    <w:p w14:paraId="0FB87048" w14:textId="52B2E872" w:rsidR="00CC3A80" w:rsidRPr="008F0952" w:rsidRDefault="005040AA" w:rsidP="008F0952">
      <w:r>
        <w:t xml:space="preserve">As a result, with the low interests, the money is so readily available and so cheap </w:t>
      </w:r>
      <w:r w:rsidR="00A85DB0">
        <w:t>but</w:t>
      </w:r>
      <w:r w:rsidR="008C2A4A">
        <w:t xml:space="preserve"> because of COVID-19, this action could not draw people back to work and to shopping. Instead, </w:t>
      </w:r>
      <w:r>
        <w:t xml:space="preserve">financial institutes </w:t>
      </w:r>
      <w:r w:rsidR="00A85DB0">
        <w:t xml:space="preserve">who </w:t>
      </w:r>
      <w:r>
        <w:lastRenderedPageBreak/>
        <w:t>mak</w:t>
      </w:r>
      <w:r w:rsidR="00A85DB0">
        <w:t xml:space="preserve">e </w:t>
      </w:r>
      <w:r>
        <w:t xml:space="preserve">money from the interest rate on the loans and credit card debts, for example </w:t>
      </w:r>
      <w:r w:rsidR="00A85DB0">
        <w:t xml:space="preserve">commercial </w:t>
      </w:r>
      <w:r>
        <w:t xml:space="preserve">banks, have to lower their expectations and their share price will accordingly be damaged. </w:t>
      </w:r>
      <w:r w:rsidR="008C2A4A">
        <w:t>The Fed is doing its job to keep the financial system to meet the need of economy but it will not take effect until the society get confident in addressing this global health problem.</w:t>
      </w:r>
      <w:r w:rsidR="00845CA5">
        <w:t xml:space="preserve"> The low interest rates did not address the root cause of the problem but partly contributed to a financial sector crash instead. </w:t>
      </w:r>
    </w:p>
    <w:sectPr w:rsidR="00CC3A80" w:rsidRPr="008F0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71F70"/>
    <w:multiLevelType w:val="hybridMultilevel"/>
    <w:tmpl w:val="7C486F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011671"/>
    <w:multiLevelType w:val="hybridMultilevel"/>
    <w:tmpl w:val="8F32F16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6CC47BDE"/>
    <w:multiLevelType w:val="hybridMultilevel"/>
    <w:tmpl w:val="96F023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F1"/>
    <w:rsid w:val="000C46F1"/>
    <w:rsid w:val="000E24FB"/>
    <w:rsid w:val="000F697C"/>
    <w:rsid w:val="00181ABF"/>
    <w:rsid w:val="00197D74"/>
    <w:rsid w:val="002F7C29"/>
    <w:rsid w:val="003258F1"/>
    <w:rsid w:val="003542E1"/>
    <w:rsid w:val="003C2557"/>
    <w:rsid w:val="004F4781"/>
    <w:rsid w:val="005040AA"/>
    <w:rsid w:val="00845CA5"/>
    <w:rsid w:val="00882329"/>
    <w:rsid w:val="008A1C74"/>
    <w:rsid w:val="008C2A4A"/>
    <w:rsid w:val="008F0952"/>
    <w:rsid w:val="009F7CBC"/>
    <w:rsid w:val="00A656E9"/>
    <w:rsid w:val="00A8079B"/>
    <w:rsid w:val="00A85DB0"/>
    <w:rsid w:val="00A9457E"/>
    <w:rsid w:val="00AB0242"/>
    <w:rsid w:val="00B63619"/>
    <w:rsid w:val="00B913D2"/>
    <w:rsid w:val="00BD71C1"/>
    <w:rsid w:val="00CC3A80"/>
    <w:rsid w:val="00D218A2"/>
    <w:rsid w:val="00E573BC"/>
    <w:rsid w:val="00EB70A9"/>
    <w:rsid w:val="00FD5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631DE"/>
  <w15:chartTrackingRefBased/>
  <w15:docId w15:val="{C71B3FB5-5623-4124-A67A-54931797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281294">
      <w:bodyDiv w:val="1"/>
      <w:marLeft w:val="0"/>
      <w:marRight w:val="0"/>
      <w:marTop w:val="0"/>
      <w:marBottom w:val="0"/>
      <w:divBdr>
        <w:top w:val="none" w:sz="0" w:space="0" w:color="auto"/>
        <w:left w:val="none" w:sz="0" w:space="0" w:color="auto"/>
        <w:bottom w:val="none" w:sz="0" w:space="0" w:color="auto"/>
        <w:right w:val="none" w:sz="0" w:space="0" w:color="auto"/>
      </w:divBdr>
    </w:div>
    <w:div w:id="132208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贺源</dc:creator>
  <cp:keywords/>
  <dc:description/>
  <cp:lastModifiedBy>高 贺源</cp:lastModifiedBy>
  <cp:revision>4</cp:revision>
  <dcterms:created xsi:type="dcterms:W3CDTF">2020-04-14T07:08:00Z</dcterms:created>
  <dcterms:modified xsi:type="dcterms:W3CDTF">2020-04-15T02:30:00Z</dcterms:modified>
</cp:coreProperties>
</file>