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43C" w:rsidRPr="0098514F" w:rsidRDefault="00BE743C" w:rsidP="00725674">
      <w:pPr>
        <w:spacing w:before="100" w:beforeAutospacing="1" w:after="0" w:line="360" w:lineRule="auto"/>
        <w:outlineLvl w:val="2"/>
        <w:rPr>
          <w:rFonts w:eastAsia="Times New Roman" w:cstheme="minorHAnsi"/>
          <w:b/>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14F">
        <w:rPr>
          <w:rFonts w:eastAsia="Times New Roman" w:cstheme="minorHAnsi"/>
          <w:b/>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Q7: Government Rescue Package: Sector Healthcare Becomes A Darling! </w:t>
      </w:r>
    </w:p>
    <w:p w:rsidR="006E2D79" w:rsidRDefault="00FC2B2C" w:rsidP="0040209B">
      <w:pPr>
        <w:snapToGrid w:val="0"/>
        <w:spacing w:after="0" w:line="276" w:lineRule="auto"/>
        <w:jc w:val="both"/>
        <w:rPr>
          <w:rFonts w:ascii="Times New Roman" w:hAnsi="Times New Roman" w:cs="Times New Roman"/>
          <w:lang w:eastAsia="zh-CN"/>
        </w:rPr>
      </w:pPr>
      <w:r>
        <w:rPr>
          <w:rFonts w:ascii="Times New Roman" w:hAnsi="Times New Roman" w:cs="Times New Roman"/>
          <w:lang w:eastAsia="zh-CN"/>
        </w:rPr>
        <w:t xml:space="preserve">In responding to Coronavirus pandemic, </w:t>
      </w:r>
      <w:r w:rsidR="00724865">
        <w:rPr>
          <w:rFonts w:ascii="Times New Roman" w:hAnsi="Times New Roman" w:cs="Times New Roman"/>
          <w:lang w:eastAsia="zh-CN"/>
        </w:rPr>
        <w:t>President Trump signed into law the Coronavirus Preparedness and Response Supplemental Appropriations Act of 2020. This $8.3 billion package provi</w:t>
      </w:r>
      <w:r w:rsidR="00724865">
        <w:rPr>
          <w:rFonts w:ascii="Times New Roman" w:hAnsi="Times New Roman" w:cs="Times New Roman" w:hint="eastAsia"/>
          <w:lang w:eastAsia="zh-CN"/>
        </w:rPr>
        <w:t>d</w:t>
      </w:r>
      <w:r w:rsidR="006E2D79">
        <w:rPr>
          <w:rFonts w:ascii="Times New Roman" w:hAnsi="Times New Roman" w:cs="Times New Roman" w:hint="eastAsia"/>
          <w:lang w:eastAsia="zh-CN"/>
        </w:rPr>
        <w:t>es</w:t>
      </w:r>
      <w:r w:rsidR="006E2D79">
        <w:rPr>
          <w:rFonts w:ascii="Times New Roman" w:hAnsi="Times New Roman" w:cs="Times New Roman"/>
          <w:lang w:eastAsia="zh-CN"/>
        </w:rPr>
        <w:t xml:space="preserve"> funding for the country’s response to coronavirus, including emergency telehealth waiver, vaccine development, and assistance for affected small business</w:t>
      </w:r>
      <w:r w:rsidR="009166A0">
        <w:rPr>
          <w:rStyle w:val="a6"/>
          <w:rFonts w:ascii="Times New Roman" w:hAnsi="Times New Roman" w:cs="Times New Roman"/>
          <w:lang w:eastAsia="zh-CN"/>
        </w:rPr>
        <w:footnoteReference w:id="1"/>
      </w:r>
      <w:r w:rsidR="006E2D79">
        <w:rPr>
          <w:rFonts w:ascii="Times New Roman" w:hAnsi="Times New Roman" w:cs="Times New Roman"/>
          <w:lang w:eastAsia="zh-CN"/>
        </w:rPr>
        <w:t xml:space="preserve">. </w:t>
      </w:r>
    </w:p>
    <w:p w:rsidR="0040209B" w:rsidRDefault="0040209B" w:rsidP="0040209B">
      <w:pPr>
        <w:snapToGrid w:val="0"/>
        <w:spacing w:after="0" w:line="276" w:lineRule="auto"/>
        <w:jc w:val="both"/>
        <w:rPr>
          <w:rFonts w:ascii="Times New Roman" w:hAnsi="Times New Roman" w:cs="Times New Roman"/>
          <w:lang w:eastAsia="zh-CN"/>
        </w:rPr>
      </w:pPr>
    </w:p>
    <w:p w:rsidR="008F3C93" w:rsidRDefault="00CD147B" w:rsidP="0040209B">
      <w:pPr>
        <w:snapToGrid w:val="0"/>
        <w:spacing w:after="0" w:line="276" w:lineRule="auto"/>
        <w:jc w:val="both"/>
        <w:rPr>
          <w:rFonts w:ascii="Times New Roman" w:hAnsi="Times New Roman" w:cs="Times New Roman"/>
          <w:lang w:eastAsia="zh-CN"/>
        </w:rPr>
      </w:pPr>
      <w:r>
        <w:rPr>
          <w:rFonts w:ascii="Times New Roman" w:hAnsi="Times New Roman" w:cs="Times New Roman"/>
          <w:lang w:eastAsia="zh-CN"/>
        </w:rPr>
        <w:t>Later</w:t>
      </w:r>
      <w:r w:rsidR="006E2D79">
        <w:rPr>
          <w:rFonts w:ascii="Times New Roman" w:hAnsi="Times New Roman" w:cs="Times New Roman"/>
          <w:lang w:eastAsia="zh-CN"/>
        </w:rPr>
        <w:t>,</w:t>
      </w:r>
      <w:r w:rsidR="006E2D79">
        <w:rPr>
          <w:rFonts w:ascii="Times New Roman" w:hAnsi="Times New Roman" w:cs="Times New Roman" w:hint="eastAsia"/>
          <w:lang w:eastAsia="zh-CN"/>
        </w:rPr>
        <w:t xml:space="preserve"> </w:t>
      </w:r>
      <w:r w:rsidR="00FC2B2C">
        <w:rPr>
          <w:rFonts w:ascii="Times New Roman" w:hAnsi="Times New Roman" w:cs="Times New Roman"/>
          <w:lang w:eastAsia="zh-CN"/>
        </w:rPr>
        <w:t xml:space="preserve">the federal government </w:t>
      </w:r>
      <w:r w:rsidR="006E2D79">
        <w:rPr>
          <w:rFonts w:ascii="Times New Roman" w:hAnsi="Times New Roman" w:cs="Times New Roman"/>
          <w:lang w:eastAsia="zh-CN"/>
        </w:rPr>
        <w:t xml:space="preserve">also </w:t>
      </w:r>
      <w:r w:rsidR="00FC2B2C">
        <w:rPr>
          <w:rFonts w:ascii="Times New Roman" w:hAnsi="Times New Roman" w:cs="Times New Roman"/>
          <w:lang w:eastAsia="zh-CN"/>
        </w:rPr>
        <w:t xml:space="preserve">adopted Coronavirus Aid, Relief, and Economic Security Act (CARES Act), providing </w:t>
      </w:r>
      <w:r w:rsidR="006E2D79">
        <w:rPr>
          <w:rFonts w:ascii="Times New Roman" w:hAnsi="Times New Roman" w:cs="Times New Roman"/>
          <w:lang w:eastAsia="zh-CN"/>
        </w:rPr>
        <w:t xml:space="preserve">additional </w:t>
      </w:r>
      <w:r w:rsidR="00FC2B2C">
        <w:rPr>
          <w:rFonts w:ascii="Times New Roman" w:hAnsi="Times New Roman" w:cs="Times New Roman"/>
          <w:lang w:eastAsia="zh-CN"/>
        </w:rPr>
        <w:t>$2 trillion stimulus package to</w:t>
      </w:r>
      <w:r w:rsidR="008F3C93" w:rsidRPr="008F3C93">
        <w:rPr>
          <w:rFonts w:ascii="Times New Roman" w:hAnsi="Times New Roman" w:cs="Times New Roman"/>
          <w:lang w:eastAsia="zh-CN"/>
        </w:rPr>
        <w:t xml:space="preserve"> </w:t>
      </w:r>
      <w:r w:rsidR="008F3C93">
        <w:rPr>
          <w:rFonts w:ascii="Times New Roman" w:hAnsi="Times New Roman" w:cs="Times New Roman"/>
          <w:lang w:eastAsia="zh-CN"/>
        </w:rPr>
        <w:t>sector</w:t>
      </w:r>
      <w:r w:rsidR="00FC2B2C">
        <w:rPr>
          <w:rFonts w:ascii="Times New Roman" w:hAnsi="Times New Roman" w:cs="Times New Roman"/>
          <w:lang w:eastAsia="zh-CN"/>
        </w:rPr>
        <w:t xml:space="preserve"> healthcare.</w:t>
      </w:r>
      <w:r w:rsidR="006E2D79">
        <w:rPr>
          <w:rFonts w:ascii="Times New Roman" w:hAnsi="Times New Roman" w:cs="Times New Roman" w:hint="eastAsia"/>
          <w:lang w:eastAsia="zh-CN"/>
        </w:rPr>
        <w:t xml:space="preserve"> </w:t>
      </w:r>
      <w:r w:rsidR="008F3C93">
        <w:rPr>
          <w:rFonts w:ascii="Times New Roman" w:hAnsi="Times New Roman" w:cs="Times New Roman" w:hint="eastAsia"/>
          <w:lang w:eastAsia="zh-CN"/>
        </w:rPr>
        <w:t>I</w:t>
      </w:r>
      <w:r w:rsidR="008F3C93">
        <w:rPr>
          <w:rFonts w:ascii="Times New Roman" w:hAnsi="Times New Roman" w:cs="Times New Roman"/>
          <w:lang w:eastAsia="zh-CN"/>
        </w:rPr>
        <w:t xml:space="preserve">n </w:t>
      </w:r>
      <w:r w:rsidR="008F3C93">
        <w:rPr>
          <w:rFonts w:ascii="Times New Roman" w:hAnsi="Times New Roman" w:cs="Times New Roman"/>
          <w:lang w:eastAsia="zh-CN"/>
        </w:rPr>
        <w:t>CARES Act</w:t>
      </w:r>
      <w:r w:rsidR="008F3C93">
        <w:rPr>
          <w:rFonts w:ascii="Times New Roman" w:hAnsi="Times New Roman" w:cs="Times New Roman"/>
          <w:lang w:eastAsia="zh-CN"/>
        </w:rPr>
        <w:t xml:space="preserve">, additional federal money is appropriated for special programs in the healthcare-related provisions. Notably, the bill extends funding for several healthcare programs, including Medicaid Disproportionate Share Hospital, National Health Service Corps, Community Health Centers, and Teaching Health Centers that operate Graduate Medical Education programs. </w:t>
      </w:r>
      <w:r w:rsidR="008F3C93">
        <w:rPr>
          <w:rFonts w:ascii="Times New Roman" w:hAnsi="Times New Roman" w:cs="Times New Roman"/>
          <w:lang w:eastAsia="zh-CN"/>
        </w:rPr>
        <w:t>CARES Act</w:t>
      </w:r>
      <w:r w:rsidR="008F3C93">
        <w:rPr>
          <w:rFonts w:ascii="Times New Roman" w:hAnsi="Times New Roman" w:cs="Times New Roman"/>
          <w:lang w:eastAsia="zh-CN"/>
        </w:rPr>
        <w:t xml:space="preserve"> further expands Medicare telehealth flexibility, including for federally qualified </w:t>
      </w:r>
      <w:r w:rsidR="008F3C93">
        <w:rPr>
          <w:rFonts w:ascii="Times New Roman" w:hAnsi="Times New Roman" w:cs="Times New Roman" w:hint="eastAsia"/>
          <w:lang w:eastAsia="zh-CN"/>
        </w:rPr>
        <w:t>heal</w:t>
      </w:r>
      <w:r w:rsidR="008F3C93">
        <w:rPr>
          <w:rFonts w:ascii="Times New Roman" w:hAnsi="Times New Roman" w:cs="Times New Roman"/>
          <w:lang w:eastAsia="zh-CN"/>
        </w:rPr>
        <w:t>th centers</w:t>
      </w:r>
      <w:r w:rsidR="003431CB">
        <w:rPr>
          <w:rFonts w:ascii="Times New Roman" w:hAnsi="Times New Roman" w:cs="Times New Roman" w:hint="eastAsia"/>
          <w:lang w:eastAsia="zh-CN"/>
        </w:rPr>
        <w:t>,</w:t>
      </w:r>
      <w:r w:rsidR="003431CB">
        <w:rPr>
          <w:rFonts w:ascii="Times New Roman" w:hAnsi="Times New Roman" w:cs="Times New Roman"/>
          <w:lang w:eastAsia="zh-CN"/>
        </w:rPr>
        <w:t xml:space="preserve"> rural health clinic and home dialysis patients</w:t>
      </w:r>
      <w:r w:rsidR="008F3C93">
        <w:rPr>
          <w:rFonts w:ascii="Times New Roman" w:hAnsi="Times New Roman" w:cs="Times New Roman" w:hint="eastAsia"/>
          <w:lang w:eastAsia="zh-CN"/>
        </w:rPr>
        <w:t>.</w:t>
      </w:r>
      <w:r w:rsidR="003431CB">
        <w:rPr>
          <w:rFonts w:ascii="Times New Roman" w:hAnsi="Times New Roman" w:cs="Times New Roman"/>
          <w:lang w:eastAsia="zh-CN"/>
        </w:rPr>
        <w:t xml:space="preserve"> The bill temporarily lifts the Medicare sequester and institutes an add-on payment for hospital in-patients with COVID-19</w:t>
      </w:r>
      <w:r w:rsidR="009166A0">
        <w:rPr>
          <w:rStyle w:val="a6"/>
          <w:rFonts w:ascii="Times New Roman" w:hAnsi="Times New Roman" w:cs="Times New Roman"/>
          <w:lang w:eastAsia="zh-CN"/>
        </w:rPr>
        <w:footnoteReference w:id="2"/>
      </w:r>
      <w:r w:rsidR="003431CB">
        <w:rPr>
          <w:rFonts w:ascii="Times New Roman" w:hAnsi="Times New Roman" w:cs="Times New Roman"/>
          <w:lang w:eastAsia="zh-CN"/>
        </w:rPr>
        <w:t>.</w:t>
      </w:r>
    </w:p>
    <w:p w:rsidR="0040209B" w:rsidRDefault="0040209B" w:rsidP="0040209B">
      <w:pPr>
        <w:snapToGrid w:val="0"/>
        <w:spacing w:after="0" w:line="276" w:lineRule="auto"/>
        <w:jc w:val="both"/>
        <w:rPr>
          <w:rFonts w:ascii="Times New Roman" w:hAnsi="Times New Roman" w:cs="Times New Roman"/>
          <w:lang w:eastAsia="zh-CN"/>
        </w:rPr>
      </w:pPr>
    </w:p>
    <w:p w:rsidR="0040209B" w:rsidRDefault="006E2D79" w:rsidP="0040209B">
      <w:pPr>
        <w:snapToGrid w:val="0"/>
        <w:spacing w:after="0" w:line="276" w:lineRule="auto"/>
        <w:jc w:val="both"/>
        <w:rPr>
          <w:rFonts w:ascii="Times New Roman" w:hAnsi="Times New Roman" w:cs="Times New Roman" w:hint="eastAsia"/>
          <w:lang w:eastAsia="zh-CN"/>
        </w:rPr>
      </w:pPr>
      <w:r>
        <w:rPr>
          <w:rFonts w:ascii="Times New Roman" w:hAnsi="Times New Roman" w:cs="Times New Roman"/>
          <w:lang w:eastAsia="zh-CN"/>
        </w:rPr>
        <w:t>Highlights of these two Acts include:</w:t>
      </w:r>
    </w:p>
    <w:p w:rsidR="008F3C93" w:rsidRPr="00724865" w:rsidRDefault="00724865"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724865">
        <w:rPr>
          <w:rFonts w:ascii="Times New Roman" w:hAnsi="Times New Roman" w:cs="Times New Roman"/>
          <w:b/>
          <w:bCs/>
          <w:lang w:eastAsia="zh-CN"/>
        </w:rPr>
        <w:t>Hospital systems</w:t>
      </w:r>
    </w:p>
    <w:p w:rsidR="00724865" w:rsidRPr="003E487B" w:rsidRDefault="000B252C" w:rsidP="0040209B">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I</w:t>
      </w:r>
      <w:r>
        <w:rPr>
          <w:rFonts w:ascii="Times New Roman" w:hAnsi="Times New Roman" w:cs="Times New Roman"/>
          <w:lang w:eastAsia="zh-CN"/>
        </w:rPr>
        <w:t xml:space="preserve">n CARES Act, </w:t>
      </w:r>
      <w:r w:rsidR="003E487B">
        <w:rPr>
          <w:rFonts w:ascii="Times New Roman" w:hAnsi="Times New Roman" w:cs="Times New Roman"/>
          <w:lang w:eastAsia="zh-CN"/>
        </w:rPr>
        <w:t xml:space="preserve">it provides </w:t>
      </w:r>
      <w:r w:rsidR="009166A0">
        <w:rPr>
          <w:rFonts w:ascii="Times New Roman" w:hAnsi="Times New Roman" w:cs="Times New Roman"/>
          <w:lang w:eastAsia="zh-CN"/>
        </w:rPr>
        <w:t>new $100 billion for hospitals and healthcare providers in responding to concerns from the healthcare community over the intense impact of covid-19 response. It also provides</w:t>
      </w:r>
      <w:r w:rsidR="009166A0">
        <w:rPr>
          <w:rFonts w:ascii="Times New Roman" w:hAnsi="Times New Roman" w:cs="Times New Roman" w:hint="eastAsia"/>
          <w:lang w:eastAsia="zh-CN"/>
        </w:rPr>
        <w:t xml:space="preserve"> </w:t>
      </w:r>
      <w:r w:rsidR="003E487B">
        <w:rPr>
          <w:rFonts w:ascii="Times New Roman" w:hAnsi="Times New Roman" w:cs="Times New Roman"/>
          <w:lang w:eastAsia="zh-CN"/>
        </w:rPr>
        <w:t>$250 million for hospital preparedness program grants or cooperative agreements with current grantees, subgrantees or other entities meeting criteria</w:t>
      </w:r>
      <w:r>
        <w:rPr>
          <w:rFonts w:ascii="Times New Roman" w:hAnsi="Times New Roman" w:cs="Times New Roman"/>
          <w:lang w:eastAsia="zh-CN"/>
        </w:rPr>
        <w:t>.</w:t>
      </w:r>
      <w:r w:rsidR="003E487B">
        <w:rPr>
          <w:rFonts w:ascii="Times New Roman" w:hAnsi="Times New Roman" w:cs="Times New Roman"/>
          <w:lang w:eastAsia="zh-CN"/>
        </w:rPr>
        <w:t xml:space="preserve"> </w:t>
      </w:r>
      <w:r w:rsidR="003E487B">
        <w:rPr>
          <w:rFonts w:ascii="Times New Roman" w:hAnsi="Times New Roman" w:cs="Times New Roman"/>
          <w:lang w:eastAsia="zh-CN"/>
        </w:rPr>
        <w:t>S</w:t>
      </w:r>
      <w:r w:rsidR="003E487B">
        <w:rPr>
          <w:rFonts w:ascii="Times New Roman" w:hAnsi="Times New Roman" w:cs="Times New Roman" w:hint="eastAsia"/>
          <w:lang w:eastAsia="zh-CN"/>
        </w:rPr>
        <w:t>ec</w:t>
      </w:r>
      <w:r w:rsidR="003E487B">
        <w:rPr>
          <w:rFonts w:ascii="Times New Roman" w:hAnsi="Times New Roman" w:cs="Times New Roman"/>
          <w:lang w:eastAsia="zh-CN"/>
        </w:rPr>
        <w:t>tion 3708 provides prompt economic assistance to healthcare providers on the front lines fighting the covid-19 virus, helping them to furnish needed care to affected patients. The payments for hospital, physician, nursing home, home health and other care is boosted</w:t>
      </w:r>
      <w:r w:rsidR="003E487B">
        <w:rPr>
          <w:rFonts w:ascii="Times New Roman" w:hAnsi="Times New Roman" w:cs="Times New Roman"/>
          <w:lang w:eastAsia="zh-CN"/>
        </w:rPr>
        <w:t>. Section 3710 increases the payment that would otherwise be made to a hospital for treating a patient admitted with COVID-19 by 20 percent.</w:t>
      </w:r>
      <w:r w:rsidR="009166A0">
        <w:rPr>
          <w:rFonts w:ascii="Times New Roman" w:hAnsi="Times New Roman" w:cs="Times New Roman"/>
          <w:lang w:eastAsia="zh-CN"/>
        </w:rPr>
        <w:t xml:space="preserve"> Section 3719 accelerates payment program during the COVID-19 emergent period.</w:t>
      </w:r>
    </w:p>
    <w:p w:rsidR="00724865" w:rsidRPr="00B33BF5" w:rsidRDefault="00724865"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B33BF5">
        <w:rPr>
          <w:rFonts w:ascii="Times New Roman" w:hAnsi="Times New Roman" w:cs="Times New Roman"/>
          <w:b/>
          <w:bCs/>
          <w:lang w:eastAsia="zh-CN"/>
        </w:rPr>
        <w:t>Safety device manufacturers and PPE</w:t>
      </w:r>
    </w:p>
    <w:p w:rsidR="00CD147B" w:rsidRPr="00B33BF5" w:rsidRDefault="00B33BF5" w:rsidP="0040209B">
      <w:pPr>
        <w:snapToGrid w:val="0"/>
        <w:spacing w:after="0" w:line="276" w:lineRule="auto"/>
        <w:jc w:val="both"/>
        <w:rPr>
          <w:rFonts w:ascii="Times New Roman" w:hAnsi="Times New Roman" w:cs="Times New Roman" w:hint="eastAsia"/>
          <w:lang w:eastAsia="zh-CN"/>
        </w:rPr>
      </w:pPr>
      <w:r>
        <w:rPr>
          <w:rFonts w:ascii="Times New Roman" w:hAnsi="Times New Roman" w:cs="Times New Roman"/>
          <w:lang w:eastAsia="zh-CN"/>
        </w:rPr>
        <w:t>In Coronavirus Emergency Appropriations Act,</w:t>
      </w:r>
      <w:r>
        <w:rPr>
          <w:rFonts w:ascii="Times New Roman" w:hAnsi="Times New Roman" w:cs="Times New Roman"/>
          <w:lang w:eastAsia="zh-CN"/>
        </w:rPr>
        <w:t xml:space="preserve"> </w:t>
      </w:r>
      <w:r w:rsidR="00CD147B">
        <w:rPr>
          <w:rFonts w:ascii="Times New Roman" w:hAnsi="Times New Roman" w:cs="Times New Roman"/>
          <w:lang w:eastAsia="zh-CN"/>
        </w:rPr>
        <w:t>phar</w:t>
      </w:r>
      <w:r w:rsidR="00CD147B">
        <w:rPr>
          <w:rFonts w:ascii="Times New Roman" w:hAnsi="Times New Roman" w:cs="Times New Roman" w:hint="eastAsia"/>
          <w:lang w:eastAsia="zh-CN"/>
        </w:rPr>
        <w:t>maceutical</w:t>
      </w:r>
      <w:r w:rsidR="00CD147B">
        <w:rPr>
          <w:rFonts w:ascii="Times New Roman" w:hAnsi="Times New Roman" w:cs="Times New Roman"/>
          <w:lang w:eastAsia="zh-CN"/>
        </w:rPr>
        <w:t>s</w:t>
      </w:r>
      <w:r w:rsidR="00CD147B">
        <w:rPr>
          <w:rFonts w:ascii="Times New Roman" w:hAnsi="Times New Roman" w:cs="Times New Roman"/>
          <w:lang w:eastAsia="zh-CN"/>
        </w:rPr>
        <w:t xml:space="preserve"> and medical supplies</w:t>
      </w:r>
      <w:r>
        <w:rPr>
          <w:rFonts w:ascii="Times New Roman" w:hAnsi="Times New Roman" w:cs="Times New Roman"/>
          <w:lang w:eastAsia="zh-CN"/>
        </w:rPr>
        <w:t xml:space="preserve"> </w:t>
      </w:r>
      <w:r>
        <w:rPr>
          <w:rFonts w:ascii="Times New Roman" w:hAnsi="Times New Roman" w:cs="Times New Roman"/>
          <w:lang w:eastAsia="zh-CN"/>
        </w:rPr>
        <w:t>such as masks</w:t>
      </w:r>
      <w:r w:rsidR="00CD147B">
        <w:rPr>
          <w:rFonts w:ascii="Times New Roman" w:hAnsi="Times New Roman" w:cs="Times New Roman"/>
          <w:lang w:eastAsia="zh-CN"/>
        </w:rPr>
        <w:t xml:space="preserve"> and personal protective equipment are provided to support healthcare preparedness and Community Health Centers to improve medical surge capacity, taking up $1 billion.</w:t>
      </w:r>
    </w:p>
    <w:p w:rsidR="00724865" w:rsidRPr="00185A81" w:rsidRDefault="00724865"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185A81">
        <w:rPr>
          <w:rFonts w:ascii="Times New Roman" w:hAnsi="Times New Roman" w:cs="Times New Roman" w:hint="eastAsia"/>
          <w:b/>
          <w:bCs/>
          <w:lang w:eastAsia="zh-CN"/>
        </w:rPr>
        <w:t>T</w:t>
      </w:r>
      <w:r w:rsidRPr="00185A81">
        <w:rPr>
          <w:rFonts w:ascii="Times New Roman" w:hAnsi="Times New Roman" w:cs="Times New Roman"/>
          <w:b/>
          <w:bCs/>
          <w:lang w:eastAsia="zh-CN"/>
        </w:rPr>
        <w:t>elemedicine</w:t>
      </w:r>
    </w:p>
    <w:p w:rsidR="00724865" w:rsidRDefault="00BC2FA7" w:rsidP="0040209B">
      <w:pPr>
        <w:pStyle w:val="a3"/>
        <w:snapToGrid w:val="0"/>
        <w:spacing w:after="0" w:line="276" w:lineRule="auto"/>
        <w:ind w:firstLineChars="0" w:firstLine="0"/>
        <w:jc w:val="both"/>
        <w:rPr>
          <w:rFonts w:ascii="Times New Roman" w:hAnsi="Times New Roman" w:cs="Times New Roman"/>
          <w:lang w:eastAsia="zh-CN"/>
        </w:rPr>
      </w:pPr>
      <w:r>
        <w:rPr>
          <w:rFonts w:ascii="Times New Roman" w:hAnsi="Times New Roman" w:cs="Times New Roman"/>
          <w:lang w:eastAsia="zh-CN"/>
        </w:rPr>
        <w:t xml:space="preserve">In Coronavirus Emergency Appropriations Act, </w:t>
      </w:r>
      <w:r w:rsidR="00731613">
        <w:rPr>
          <w:rFonts w:ascii="Times New Roman" w:hAnsi="Times New Roman" w:cs="Times New Roman" w:hint="eastAsia"/>
          <w:lang w:eastAsia="zh-CN"/>
        </w:rPr>
        <w:t>$</w:t>
      </w:r>
      <w:r w:rsidR="00731613">
        <w:rPr>
          <w:rFonts w:ascii="Times New Roman" w:hAnsi="Times New Roman" w:cs="Times New Roman"/>
          <w:lang w:eastAsia="zh-CN"/>
        </w:rPr>
        <w:t xml:space="preserve">500 million </w:t>
      </w:r>
      <w:r w:rsidR="00185A81">
        <w:rPr>
          <w:rFonts w:ascii="Times New Roman" w:hAnsi="Times New Roman" w:cs="Times New Roman"/>
          <w:lang w:eastAsia="zh-CN"/>
        </w:rPr>
        <w:t>is estimated to be spent in telehealth which allows Medicare beneficiaries to receive telehealth services from home, without the potential risk of exposure associated with visits to medical care facilities. Telehealth services can be provided to Medicare beneficiaries via phone if the phone allows for audio-video interaction between the provider and the beneficiary.</w:t>
      </w:r>
      <w:r w:rsidR="00246FA4">
        <w:rPr>
          <w:rFonts w:ascii="Times New Roman" w:hAnsi="Times New Roman" w:cs="Times New Roman"/>
          <w:lang w:eastAsia="zh-CN"/>
        </w:rPr>
        <w:t xml:space="preserve"> Patient</w:t>
      </w:r>
      <w:r w:rsidR="000B252C">
        <w:rPr>
          <w:rFonts w:ascii="Times New Roman" w:hAnsi="Times New Roman" w:cs="Times New Roman"/>
          <w:lang w:eastAsia="zh-CN"/>
        </w:rPr>
        <w:t>s</w:t>
      </w:r>
      <w:r w:rsidR="00246FA4">
        <w:rPr>
          <w:rFonts w:ascii="Times New Roman" w:hAnsi="Times New Roman" w:cs="Times New Roman"/>
          <w:lang w:eastAsia="zh-CN"/>
        </w:rPr>
        <w:t xml:space="preserve"> in rural areas </w:t>
      </w:r>
      <w:r w:rsidR="000B252C">
        <w:rPr>
          <w:rFonts w:ascii="Times New Roman" w:hAnsi="Times New Roman" w:cs="Times New Roman"/>
          <w:lang w:eastAsia="zh-CN"/>
        </w:rPr>
        <w:t>or</w:t>
      </w:r>
      <w:r w:rsidR="00246FA4">
        <w:rPr>
          <w:rFonts w:ascii="Times New Roman" w:hAnsi="Times New Roman" w:cs="Times New Roman"/>
          <w:lang w:eastAsia="zh-CN"/>
        </w:rPr>
        <w:t xml:space="preserve"> </w:t>
      </w:r>
      <w:r w:rsidR="000B252C">
        <w:rPr>
          <w:rFonts w:ascii="Times New Roman" w:hAnsi="Times New Roman" w:cs="Times New Roman"/>
          <w:lang w:eastAsia="zh-CN"/>
        </w:rPr>
        <w:t>have chronic</w:t>
      </w:r>
      <w:r w:rsidR="00246FA4" w:rsidRPr="00246FA4">
        <w:rPr>
          <w:rFonts w:ascii="Times New Roman" w:hAnsi="Times New Roman" w:cs="Times New Roman"/>
          <w:lang w:eastAsia="zh-CN"/>
        </w:rPr>
        <w:t xml:space="preserve"> </w:t>
      </w:r>
      <w:r w:rsidR="00246FA4">
        <w:rPr>
          <w:rFonts w:ascii="Times New Roman" w:hAnsi="Times New Roman" w:cs="Times New Roman"/>
          <w:lang w:eastAsia="zh-CN"/>
        </w:rPr>
        <w:t xml:space="preserve">diseases such as dialysis </w:t>
      </w:r>
      <w:r w:rsidR="00246FA4">
        <w:rPr>
          <w:rFonts w:ascii="Times New Roman" w:hAnsi="Times New Roman" w:cs="Times New Roman" w:hint="eastAsia"/>
          <w:lang w:eastAsia="zh-CN"/>
        </w:rPr>
        <w:t>can</w:t>
      </w:r>
      <w:r w:rsidR="00246FA4">
        <w:rPr>
          <w:rFonts w:ascii="Times New Roman" w:hAnsi="Times New Roman" w:cs="Times New Roman"/>
          <w:lang w:eastAsia="zh-CN"/>
        </w:rPr>
        <w:t xml:space="preserve"> </w:t>
      </w:r>
      <w:r w:rsidR="000B252C">
        <w:rPr>
          <w:rFonts w:ascii="Times New Roman" w:hAnsi="Times New Roman" w:cs="Times New Roman"/>
          <w:lang w:eastAsia="zh-CN"/>
        </w:rPr>
        <w:t>get more care in the safety of their home.</w:t>
      </w:r>
    </w:p>
    <w:p w:rsidR="009C46C1" w:rsidRDefault="009C46C1" w:rsidP="0040209B">
      <w:pPr>
        <w:pStyle w:val="a3"/>
        <w:snapToGrid w:val="0"/>
        <w:spacing w:after="0" w:line="276" w:lineRule="auto"/>
        <w:ind w:firstLineChars="0" w:firstLine="0"/>
        <w:jc w:val="both"/>
        <w:rPr>
          <w:rFonts w:ascii="Times New Roman" w:hAnsi="Times New Roman" w:cs="Times New Roman"/>
          <w:lang w:eastAsia="zh-CN"/>
        </w:rPr>
      </w:pPr>
    </w:p>
    <w:p w:rsidR="00185A81" w:rsidRPr="00724865" w:rsidRDefault="00246FA4" w:rsidP="0040209B">
      <w:pPr>
        <w:pStyle w:val="a3"/>
        <w:snapToGrid w:val="0"/>
        <w:spacing w:after="0" w:line="276" w:lineRule="auto"/>
        <w:ind w:firstLineChars="0" w:firstLine="0"/>
        <w:jc w:val="both"/>
        <w:rPr>
          <w:rFonts w:ascii="Times New Roman" w:hAnsi="Times New Roman" w:cs="Times New Roman" w:hint="eastAsia"/>
          <w:lang w:eastAsia="zh-CN"/>
        </w:rPr>
      </w:pPr>
      <w:r>
        <w:rPr>
          <w:rFonts w:ascii="Times New Roman" w:hAnsi="Times New Roman" w:cs="Times New Roman" w:hint="eastAsia"/>
          <w:lang w:eastAsia="zh-CN"/>
        </w:rPr>
        <w:t>I</w:t>
      </w:r>
      <w:r>
        <w:rPr>
          <w:rFonts w:ascii="Times New Roman" w:hAnsi="Times New Roman" w:cs="Times New Roman"/>
          <w:lang w:eastAsia="zh-CN"/>
        </w:rPr>
        <w:t xml:space="preserve">n </w:t>
      </w:r>
      <w:r>
        <w:rPr>
          <w:rFonts w:ascii="Times New Roman" w:hAnsi="Times New Roman" w:cs="Times New Roman"/>
          <w:lang w:eastAsia="zh-CN"/>
        </w:rPr>
        <w:t>CARES Act</w:t>
      </w:r>
      <w:r>
        <w:rPr>
          <w:rFonts w:ascii="Times New Roman" w:hAnsi="Times New Roman" w:cs="Times New Roman"/>
          <w:lang w:eastAsia="zh-CN"/>
        </w:rPr>
        <w:t>, S</w:t>
      </w:r>
      <w:r>
        <w:rPr>
          <w:rFonts w:ascii="Times New Roman" w:hAnsi="Times New Roman" w:cs="Times New Roman" w:hint="eastAsia"/>
          <w:lang w:eastAsia="zh-CN"/>
        </w:rPr>
        <w:t>ec</w:t>
      </w:r>
      <w:r>
        <w:rPr>
          <w:rFonts w:ascii="Times New Roman" w:hAnsi="Times New Roman" w:cs="Times New Roman"/>
          <w:lang w:eastAsia="zh-CN"/>
        </w:rPr>
        <w:t xml:space="preserve">tion 3212 declares that </w:t>
      </w:r>
      <w:r>
        <w:rPr>
          <w:rFonts w:ascii="Times New Roman" w:hAnsi="Times New Roman" w:cs="Times New Roman" w:hint="eastAsia"/>
          <w:lang w:eastAsia="zh-CN"/>
        </w:rPr>
        <w:t>tele</w:t>
      </w:r>
      <w:r>
        <w:rPr>
          <w:rFonts w:ascii="Times New Roman" w:hAnsi="Times New Roman" w:cs="Times New Roman"/>
          <w:lang w:eastAsia="zh-CN"/>
        </w:rPr>
        <w:t>health network and telehealth resource center grant program will expand funding for evidence-based telehealth networks and telehealth technologies by $29 million for each fiscal year from 2021 through 2025.</w:t>
      </w:r>
    </w:p>
    <w:p w:rsidR="00724865" w:rsidRPr="009166A0" w:rsidRDefault="00185A81"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9166A0">
        <w:rPr>
          <w:rFonts w:ascii="Times New Roman" w:hAnsi="Times New Roman" w:cs="Times New Roman"/>
          <w:b/>
          <w:bCs/>
          <w:lang w:eastAsia="zh-CN"/>
        </w:rPr>
        <w:lastRenderedPageBreak/>
        <w:t>Veterans’</w:t>
      </w:r>
      <w:r w:rsidR="00724865" w:rsidRPr="009166A0">
        <w:rPr>
          <w:rFonts w:ascii="Times New Roman" w:hAnsi="Times New Roman" w:cs="Times New Roman"/>
          <w:b/>
          <w:bCs/>
          <w:lang w:eastAsia="zh-CN"/>
        </w:rPr>
        <w:t xml:space="preserve"> healthcare</w:t>
      </w:r>
      <w:r w:rsidR="009F7639">
        <w:rPr>
          <w:rStyle w:val="a6"/>
          <w:rFonts w:ascii="Times New Roman" w:hAnsi="Times New Roman" w:cs="Times New Roman"/>
          <w:b/>
          <w:bCs/>
          <w:lang w:eastAsia="zh-CN"/>
        </w:rPr>
        <w:footnoteReference w:id="3"/>
      </w:r>
    </w:p>
    <w:p w:rsidR="0040209B" w:rsidRDefault="0040209B" w:rsidP="0040209B">
      <w:pPr>
        <w:snapToGrid w:val="0"/>
        <w:spacing w:after="0" w:line="276" w:lineRule="auto"/>
        <w:jc w:val="both"/>
        <w:rPr>
          <w:rFonts w:ascii="Times New Roman" w:hAnsi="Times New Roman" w:cs="Times New Roman" w:hint="eastAsia"/>
          <w:lang w:eastAsia="zh-CN"/>
        </w:rPr>
      </w:pPr>
      <w:r w:rsidRPr="0040209B">
        <w:rPr>
          <w:rFonts w:ascii="Times New Roman" w:hAnsi="Times New Roman" w:cs="Times New Roman"/>
          <w:lang w:eastAsia="zh-CN"/>
        </w:rPr>
        <w:t>The Department of Veterans Affairs (VA) will receive $19.6 billion in additional funding to fight the pandemic. The majority of the money allocated to VA will go directly to the Veterans Health Administration. This funding will provide essential medical services, including vital medical and protective equipment, testing kits, personal protective equipment (PPE), and medical supplies to support growing demand for health-care services at VA facilities and through telehealth services. Provisions in the bill require VA to provide PPE to all home health-care workers serving veterans at home and in the community. To support VA staff working overtime during the COVID-19 pandemic, the CARES Act waives pay caps for VA staff so they can be fully compensated for hours served.</w:t>
      </w:r>
    </w:p>
    <w:p w:rsidR="0040209B" w:rsidRDefault="0040209B" w:rsidP="0040209B">
      <w:pPr>
        <w:pStyle w:val="para"/>
        <w:shd w:val="clear" w:color="auto" w:fill="FFFFFF"/>
        <w:snapToGrid w:val="0"/>
        <w:spacing w:before="0" w:beforeAutospacing="0" w:after="0" w:afterAutospacing="0" w:line="276" w:lineRule="auto"/>
        <w:jc w:val="both"/>
        <w:rPr>
          <w:rFonts w:ascii="Times New Roman" w:eastAsiaTheme="minorEastAsia" w:hAnsi="Times New Roman" w:cs="Times New Roman"/>
          <w:sz w:val="22"/>
          <w:szCs w:val="22"/>
        </w:rPr>
      </w:pPr>
    </w:p>
    <w:p w:rsidR="00B33BF5" w:rsidRPr="0040209B" w:rsidRDefault="0040209B" w:rsidP="0040209B">
      <w:pPr>
        <w:pStyle w:val="para"/>
        <w:shd w:val="clear" w:color="auto" w:fill="FFFFFF"/>
        <w:snapToGrid w:val="0"/>
        <w:spacing w:before="0" w:beforeAutospacing="0" w:after="0" w:afterAutospacing="0" w:line="276" w:lineRule="auto"/>
        <w:jc w:val="both"/>
        <w:rPr>
          <w:rFonts w:ascii="Times New Roman" w:eastAsiaTheme="minorEastAsia" w:hAnsi="Times New Roman" w:cs="Times New Roman" w:hint="eastAsia"/>
          <w:sz w:val="22"/>
          <w:szCs w:val="22"/>
        </w:rPr>
      </w:pPr>
      <w:r w:rsidRPr="0040209B">
        <w:rPr>
          <w:rFonts w:ascii="Times New Roman" w:eastAsiaTheme="minorEastAsia" w:hAnsi="Times New Roman" w:cs="Times New Roman"/>
          <w:sz w:val="22"/>
          <w:szCs w:val="22"/>
        </w:rPr>
        <w:t>The funding provided by the CARES Act will ensure VA is able to provide additional care and support for the most vulnerable veterans</w:t>
      </w:r>
      <w:r>
        <w:rPr>
          <w:rFonts w:ascii="Times New Roman" w:eastAsiaTheme="minorEastAsia" w:hAnsi="Times New Roman" w:cs="Times New Roman"/>
          <w:sz w:val="22"/>
          <w:szCs w:val="22"/>
        </w:rPr>
        <w:t xml:space="preserve">. </w:t>
      </w:r>
      <w:r w:rsidRPr="0040209B">
        <w:rPr>
          <w:rFonts w:ascii="Times New Roman" w:eastAsiaTheme="minorEastAsia" w:hAnsi="Times New Roman" w:cs="Times New Roman"/>
          <w:sz w:val="22"/>
          <w:szCs w:val="22"/>
        </w:rPr>
        <w:t>The most notable change in how veterans are able to receive VA health care during the pandemic is the expansion of telehealth services. Funds to bolster telehealth capabilities through increased telework and call center capabilities will deliver health care and mental health services while helping mitigate the risk of virus transmission.</w:t>
      </w:r>
    </w:p>
    <w:p w:rsidR="00724865" w:rsidRPr="009166A0" w:rsidRDefault="00724865"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9166A0">
        <w:rPr>
          <w:rFonts w:ascii="Times New Roman" w:hAnsi="Times New Roman" w:cs="Times New Roman" w:hint="eastAsia"/>
          <w:b/>
          <w:bCs/>
          <w:lang w:eastAsia="zh-CN"/>
        </w:rPr>
        <w:t>E</w:t>
      </w:r>
      <w:r w:rsidRPr="009166A0">
        <w:rPr>
          <w:rFonts w:ascii="Times New Roman" w:hAnsi="Times New Roman" w:cs="Times New Roman"/>
          <w:b/>
          <w:bCs/>
          <w:lang w:eastAsia="zh-CN"/>
        </w:rPr>
        <w:t>xtra financial support for CDC and NIH</w:t>
      </w:r>
    </w:p>
    <w:p w:rsidR="00B33BF5" w:rsidRDefault="00B33BF5" w:rsidP="0040209B">
      <w:pPr>
        <w:snapToGrid w:val="0"/>
        <w:spacing w:after="0" w:line="276" w:lineRule="auto"/>
        <w:jc w:val="both"/>
        <w:rPr>
          <w:rFonts w:ascii="Times New Roman" w:hAnsi="Times New Roman" w:cs="Times New Roman"/>
          <w:lang w:eastAsia="zh-CN"/>
        </w:rPr>
      </w:pPr>
      <w:r w:rsidRPr="00B33BF5">
        <w:rPr>
          <w:rFonts w:ascii="Times New Roman" w:hAnsi="Times New Roman" w:cs="Times New Roman"/>
          <w:lang w:eastAsia="zh-CN"/>
        </w:rPr>
        <w:t>Coronavirus Emergency Appropriations Act funds $2.2 billion for the CDC to support federal, state, and local public health agencies to prevent, prepare for, and respond to the coronavirus</w:t>
      </w:r>
      <w:r>
        <w:rPr>
          <w:rFonts w:ascii="Times New Roman" w:hAnsi="Times New Roman" w:cs="Times New Roman"/>
          <w:lang w:eastAsia="zh-CN"/>
        </w:rPr>
        <w:t>, and $475 million of it must be allocated within 30 days. As for vaccines, therapeutics, and diagnostics, NIH are funded $826 million for basic research and development.</w:t>
      </w:r>
    </w:p>
    <w:p w:rsidR="009F7639" w:rsidRPr="00B33BF5" w:rsidRDefault="009F7639" w:rsidP="0040209B">
      <w:pPr>
        <w:snapToGrid w:val="0"/>
        <w:spacing w:after="0" w:line="276" w:lineRule="auto"/>
        <w:jc w:val="both"/>
        <w:rPr>
          <w:rFonts w:ascii="Times New Roman" w:hAnsi="Times New Roman" w:cs="Times New Roman" w:hint="eastAsia"/>
          <w:lang w:eastAsia="zh-CN"/>
        </w:rPr>
      </w:pPr>
    </w:p>
    <w:p w:rsidR="00724865" w:rsidRPr="00B33BF5" w:rsidRDefault="009166A0" w:rsidP="0040209B">
      <w:pPr>
        <w:snapToGrid w:val="0"/>
        <w:spacing w:after="0" w:line="276" w:lineRule="auto"/>
        <w:jc w:val="both"/>
        <w:rPr>
          <w:rFonts w:ascii="Times New Roman" w:hAnsi="Times New Roman" w:cs="Times New Roman" w:hint="eastAsia"/>
          <w:lang w:eastAsia="zh-CN"/>
        </w:rPr>
      </w:pPr>
      <w:r>
        <w:rPr>
          <w:rFonts w:ascii="Times New Roman" w:hAnsi="Times New Roman" w:cs="Times New Roman" w:hint="eastAsia"/>
          <w:lang w:eastAsia="zh-CN"/>
        </w:rPr>
        <w:t>I</w:t>
      </w:r>
      <w:r>
        <w:rPr>
          <w:rFonts w:ascii="Times New Roman" w:hAnsi="Times New Roman" w:cs="Times New Roman"/>
          <w:lang w:eastAsia="zh-CN"/>
        </w:rPr>
        <w:t>n CARES Act,</w:t>
      </w:r>
      <w:r>
        <w:rPr>
          <w:rFonts w:ascii="Times New Roman" w:hAnsi="Times New Roman" w:cs="Times New Roman"/>
          <w:lang w:eastAsia="zh-CN"/>
        </w:rPr>
        <w:t xml:space="preserve"> $4.5 billion is available for CDC from Fiscal Year 2020-2022 for public health preparedness and response. And $945 million for NIH to support the expansion of research plans under the first supplemental.</w:t>
      </w:r>
    </w:p>
    <w:p w:rsidR="00724865" w:rsidRPr="009166A0" w:rsidRDefault="00724865"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9166A0">
        <w:rPr>
          <w:rFonts w:ascii="Times New Roman" w:hAnsi="Times New Roman" w:cs="Times New Roman"/>
          <w:b/>
          <w:bCs/>
          <w:lang w:eastAsia="zh-CN"/>
        </w:rPr>
        <w:t>R&amp;D joint ventures with pharma</w:t>
      </w:r>
    </w:p>
    <w:p w:rsidR="00724865" w:rsidRPr="00185A81" w:rsidRDefault="00185A81" w:rsidP="0040209B">
      <w:pPr>
        <w:snapToGrid w:val="0"/>
        <w:spacing w:after="0" w:line="276" w:lineRule="auto"/>
        <w:jc w:val="both"/>
        <w:rPr>
          <w:rFonts w:ascii="Times New Roman" w:hAnsi="Times New Roman" w:cs="Times New Roman" w:hint="eastAsia"/>
          <w:lang w:eastAsia="zh-CN"/>
        </w:rPr>
      </w:pPr>
      <w:r>
        <w:rPr>
          <w:rFonts w:ascii="Times New Roman" w:hAnsi="Times New Roman" w:cs="Times New Roman"/>
          <w:lang w:eastAsia="zh-CN"/>
        </w:rPr>
        <w:t>CARES Act</w:t>
      </w:r>
      <w:r>
        <w:rPr>
          <w:rFonts w:ascii="Times New Roman" w:hAnsi="Times New Roman" w:cs="Times New Roman"/>
          <w:lang w:eastAsia="zh-CN"/>
        </w:rPr>
        <w:t xml:space="preserve"> provides $3.5 billion for the Biomedical Advance Research and Development Agency to support the development of countermeasures, vaccines and other technologies, treatments and therapies.</w:t>
      </w:r>
    </w:p>
    <w:p w:rsidR="00724865" w:rsidRPr="009166A0" w:rsidRDefault="00B33BF5" w:rsidP="0040209B">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b/>
          <w:bCs/>
          <w:lang w:eastAsia="zh-CN"/>
        </w:rPr>
      </w:pPr>
      <w:r w:rsidRPr="009166A0">
        <w:rPr>
          <w:rFonts w:ascii="Times New Roman" w:hAnsi="Times New Roman" w:cs="Times New Roman"/>
          <w:b/>
          <w:bCs/>
          <w:lang w:eastAsia="zh-CN"/>
        </w:rPr>
        <w:t>Other b</w:t>
      </w:r>
      <w:r w:rsidR="00724865" w:rsidRPr="009166A0">
        <w:rPr>
          <w:rFonts w:ascii="Times New Roman" w:hAnsi="Times New Roman" w:cs="Times New Roman"/>
          <w:b/>
          <w:bCs/>
          <w:lang w:eastAsia="zh-CN"/>
        </w:rPr>
        <w:t xml:space="preserve">iotech </w:t>
      </w:r>
      <w:r w:rsidRPr="009166A0">
        <w:rPr>
          <w:rFonts w:ascii="Times New Roman" w:hAnsi="Times New Roman" w:cs="Times New Roman"/>
          <w:b/>
          <w:bCs/>
          <w:lang w:eastAsia="zh-CN"/>
        </w:rPr>
        <w:t>involved in vaccine and drug development</w:t>
      </w:r>
    </w:p>
    <w:p w:rsidR="00D23BEB" w:rsidRDefault="00D23BEB" w:rsidP="00236A97">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Biotech</w:t>
      </w:r>
      <w:r>
        <w:rPr>
          <w:rFonts w:ascii="Times New Roman" w:hAnsi="Times New Roman" w:cs="Times New Roman"/>
          <w:lang w:eastAsia="zh-CN"/>
        </w:rPr>
        <w:t xml:space="preserve"> companies also get funding from government for </w:t>
      </w:r>
      <w:r w:rsidRPr="00236A97">
        <w:rPr>
          <w:rFonts w:ascii="Times New Roman" w:hAnsi="Times New Roman" w:cs="Times New Roman"/>
          <w:lang w:eastAsia="zh-CN"/>
        </w:rPr>
        <w:t>COVID-19</w:t>
      </w:r>
      <w:r>
        <w:rPr>
          <w:rFonts w:ascii="Times New Roman" w:hAnsi="Times New Roman" w:cs="Times New Roman"/>
          <w:lang w:eastAsia="zh-CN"/>
        </w:rPr>
        <w:t xml:space="preserve"> treatments development.</w:t>
      </w:r>
    </w:p>
    <w:p w:rsidR="00D23BEB" w:rsidRDefault="00D23BEB" w:rsidP="00236A97">
      <w:pPr>
        <w:snapToGrid w:val="0"/>
        <w:spacing w:after="0" w:line="276" w:lineRule="auto"/>
        <w:jc w:val="both"/>
        <w:rPr>
          <w:rFonts w:ascii="Times New Roman" w:hAnsi="Times New Roman" w:cs="Times New Roman"/>
          <w:lang w:eastAsia="zh-CN"/>
        </w:rPr>
      </w:pPr>
    </w:p>
    <w:p w:rsidR="00236A97" w:rsidRPr="00236A97" w:rsidRDefault="00236A97" w:rsidP="00236A97">
      <w:pPr>
        <w:snapToGrid w:val="0"/>
        <w:spacing w:after="0" w:line="276" w:lineRule="auto"/>
        <w:jc w:val="both"/>
        <w:rPr>
          <w:rFonts w:ascii="Times New Roman" w:hAnsi="Times New Roman" w:cs="Times New Roman"/>
          <w:lang w:eastAsia="zh-CN"/>
        </w:rPr>
      </w:pPr>
      <w:r w:rsidRPr="00236A97">
        <w:rPr>
          <w:rFonts w:ascii="Times New Roman" w:hAnsi="Times New Roman" w:cs="Times New Roman"/>
          <w:lang w:eastAsia="zh-CN"/>
        </w:rPr>
        <w:t xml:space="preserve">BARDA will provide Mesa Biotech, Inc. of San Diego, California, with technical expertise and $561,330 in immediate funding to pursue eventual Food and Drug Administration (FDA) approval or clearance of its diagnostic test. With BARDA’s support, the company can complete the development work necessary to request Emergency Use Authorization (EUA) from the FDA for the </w:t>
      </w:r>
      <w:proofErr w:type="spellStart"/>
      <w:r w:rsidRPr="00236A97">
        <w:rPr>
          <w:rFonts w:ascii="Times New Roman" w:hAnsi="Times New Roman" w:cs="Times New Roman"/>
          <w:lang w:eastAsia="zh-CN"/>
        </w:rPr>
        <w:t>Accula</w:t>
      </w:r>
      <w:proofErr w:type="spellEnd"/>
      <w:r w:rsidRPr="00236A97">
        <w:rPr>
          <w:rFonts w:ascii="Times New Roman" w:hAnsi="Times New Roman" w:cs="Times New Roman"/>
          <w:lang w:eastAsia="zh-CN"/>
        </w:rPr>
        <w:t xml:space="preserve"> COVID-19 point-of-care test within two months of the award. The </w:t>
      </w:r>
      <w:proofErr w:type="spellStart"/>
      <w:r w:rsidRPr="00236A97">
        <w:rPr>
          <w:rFonts w:ascii="Times New Roman" w:hAnsi="Times New Roman" w:cs="Times New Roman"/>
          <w:lang w:eastAsia="zh-CN"/>
        </w:rPr>
        <w:t>Accula</w:t>
      </w:r>
      <w:proofErr w:type="spellEnd"/>
      <w:r w:rsidRPr="00236A97">
        <w:rPr>
          <w:rFonts w:ascii="Times New Roman" w:hAnsi="Times New Roman" w:cs="Times New Roman"/>
          <w:lang w:eastAsia="zh-CN"/>
        </w:rPr>
        <w:t xml:space="preserve"> COVID-19 diagnostic test requires minimal sample handling, and a 30-minute sample-to-result time</w:t>
      </w:r>
      <w:r w:rsidR="00D23BEB">
        <w:rPr>
          <w:rStyle w:val="a6"/>
          <w:rFonts w:ascii="Times New Roman" w:hAnsi="Times New Roman" w:cs="Times New Roman"/>
          <w:lang w:eastAsia="zh-CN"/>
        </w:rPr>
        <w:footnoteReference w:id="4"/>
      </w:r>
      <w:r w:rsidRPr="00236A97">
        <w:rPr>
          <w:rFonts w:ascii="Times New Roman" w:hAnsi="Times New Roman" w:cs="Times New Roman"/>
          <w:lang w:eastAsia="zh-CN"/>
        </w:rPr>
        <w:t>.</w:t>
      </w:r>
    </w:p>
    <w:p w:rsidR="00B33BF5" w:rsidRDefault="00B33BF5" w:rsidP="0040209B">
      <w:pPr>
        <w:snapToGrid w:val="0"/>
        <w:spacing w:after="0" w:line="276" w:lineRule="auto"/>
        <w:jc w:val="both"/>
        <w:rPr>
          <w:rFonts w:ascii="Times New Roman" w:hAnsi="Times New Roman" w:cs="Times New Roman"/>
          <w:lang w:eastAsia="zh-CN"/>
        </w:rPr>
      </w:pPr>
    </w:p>
    <w:p w:rsidR="00236A97" w:rsidRDefault="00236A97" w:rsidP="0040209B">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Besides</w:t>
      </w:r>
      <w:r>
        <w:rPr>
          <w:rFonts w:ascii="Times New Roman" w:hAnsi="Times New Roman" w:cs="Times New Roman"/>
          <w:lang w:eastAsia="zh-CN"/>
        </w:rPr>
        <w:t xml:space="preserve">, Emergent BioSolutions has received $14.5 million in funding from the </w:t>
      </w:r>
      <w:r>
        <w:rPr>
          <w:rFonts w:ascii="Times New Roman" w:hAnsi="Times New Roman" w:cs="Times New Roman"/>
          <w:lang w:eastAsia="zh-CN"/>
        </w:rPr>
        <w:t>Biomedical Advance Research and Development Agency</w:t>
      </w:r>
      <w:r>
        <w:rPr>
          <w:rFonts w:ascii="Times New Roman" w:hAnsi="Times New Roman" w:cs="Times New Roman"/>
          <w:lang w:eastAsia="zh-CN"/>
        </w:rPr>
        <w:t xml:space="preserve"> to speed the development of expedite COVID-19 plasma therapy</w:t>
      </w:r>
      <w:r w:rsidR="00D23BEB">
        <w:rPr>
          <w:rStyle w:val="a6"/>
          <w:rFonts w:ascii="Times New Roman" w:hAnsi="Times New Roman" w:cs="Times New Roman"/>
          <w:lang w:eastAsia="zh-CN"/>
        </w:rPr>
        <w:footnoteReference w:id="5"/>
      </w:r>
      <w:r>
        <w:rPr>
          <w:rFonts w:ascii="Times New Roman" w:hAnsi="Times New Roman" w:cs="Times New Roman"/>
          <w:lang w:eastAsia="zh-CN"/>
        </w:rPr>
        <w:t>.</w:t>
      </w:r>
    </w:p>
    <w:p w:rsidR="00236A97" w:rsidRPr="00236A97" w:rsidRDefault="00236A97" w:rsidP="00236A97">
      <w:pPr>
        <w:pStyle w:val="a3"/>
        <w:numPr>
          <w:ilvl w:val="0"/>
          <w:numId w:val="1"/>
        </w:numPr>
        <w:snapToGrid w:val="0"/>
        <w:spacing w:before="100" w:beforeAutospacing="1" w:after="100" w:afterAutospacing="1" w:line="276" w:lineRule="auto"/>
        <w:ind w:left="357" w:firstLineChars="0" w:hanging="357"/>
        <w:jc w:val="both"/>
        <w:rPr>
          <w:rFonts w:ascii="Times New Roman" w:hAnsi="Times New Roman" w:cs="Times New Roman" w:hint="eastAsia"/>
          <w:b/>
          <w:bCs/>
          <w:lang w:eastAsia="zh-CN"/>
        </w:rPr>
      </w:pPr>
      <w:r>
        <w:rPr>
          <w:rFonts w:ascii="Times New Roman" w:hAnsi="Times New Roman" w:cs="Times New Roman"/>
          <w:b/>
          <w:bCs/>
          <w:lang w:eastAsia="zh-CN"/>
        </w:rPr>
        <w:lastRenderedPageBreak/>
        <w:t>Small business</w:t>
      </w:r>
    </w:p>
    <w:p w:rsidR="00CD147B" w:rsidRPr="00CD147B" w:rsidRDefault="00CD147B" w:rsidP="0040209B">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part from funding the healthcare-related </w:t>
      </w:r>
      <w:r>
        <w:rPr>
          <w:rFonts w:ascii="Times New Roman" w:hAnsi="Times New Roman" w:cs="Times New Roman"/>
          <w:lang w:eastAsia="zh-CN"/>
        </w:rPr>
        <w:t>provisions</w:t>
      </w:r>
      <w:r>
        <w:rPr>
          <w:rFonts w:ascii="Times New Roman" w:hAnsi="Times New Roman" w:cs="Times New Roman"/>
          <w:lang w:eastAsia="zh-CN"/>
        </w:rPr>
        <w:t xml:space="preserve">, $ 1 billion in loan subsidies are available to help small business, </w:t>
      </w:r>
      <w:r w:rsidRPr="00CD147B">
        <w:rPr>
          <w:rFonts w:ascii="Times New Roman" w:hAnsi="Times New Roman" w:cs="Times New Roman"/>
          <w:lang w:eastAsia="zh-CN"/>
        </w:rPr>
        <w:t>small agricultural cooperatives, small aquaculture producers, and nonprofit organizations which have been impacted by financial losses as a result of the coronavirus outbreak. This funding could enable the Small Business Administration to provide an estimated $7 billion in loans to these entities</w:t>
      </w:r>
      <w:r w:rsidR="00D23BEB">
        <w:rPr>
          <w:rStyle w:val="a6"/>
          <w:rFonts w:ascii="Times New Roman" w:hAnsi="Times New Roman" w:cs="Times New Roman"/>
          <w:lang w:eastAsia="zh-CN"/>
        </w:rPr>
        <w:footnoteReference w:id="6"/>
      </w:r>
      <w:r w:rsidRPr="00CD147B">
        <w:rPr>
          <w:rFonts w:ascii="Times New Roman" w:hAnsi="Times New Roman" w:cs="Times New Roman"/>
          <w:lang w:eastAsia="zh-CN"/>
        </w:rPr>
        <w:t>.</w:t>
      </w:r>
    </w:p>
    <w:p w:rsidR="00CD147B" w:rsidRDefault="00CD147B" w:rsidP="0040209B">
      <w:pPr>
        <w:snapToGrid w:val="0"/>
        <w:spacing w:after="0" w:line="276" w:lineRule="auto"/>
        <w:jc w:val="both"/>
        <w:rPr>
          <w:rFonts w:ascii="Times New Roman" w:hAnsi="Times New Roman" w:cs="Times New Roman"/>
          <w:lang w:eastAsia="zh-CN"/>
        </w:rPr>
      </w:pPr>
    </w:p>
    <w:p w:rsidR="00D23BEB" w:rsidRDefault="009C46C1" w:rsidP="0040209B">
      <w:pPr>
        <w:snapToGrid w:val="0"/>
        <w:spacing w:after="0" w:line="276" w:lineRule="auto"/>
        <w:jc w:val="both"/>
        <w:rPr>
          <w:rFonts w:ascii="Times New Roman" w:hAnsi="Times New Roman" w:cs="Times New Roman"/>
          <w:lang w:eastAsia="zh-CN"/>
        </w:rPr>
      </w:pPr>
      <w:r>
        <w:rPr>
          <w:rFonts w:ascii="Times New Roman" w:hAnsi="Times New Roman" w:cs="Times New Roman"/>
          <w:lang w:eastAsia="zh-CN"/>
        </w:rPr>
        <w:t xml:space="preserve">We suppose that sector healthcare is comparatively robust under serious economic circumstance because of the government rescue packages and supports. </w:t>
      </w:r>
      <w:r>
        <w:rPr>
          <w:rFonts w:ascii="Times New Roman" w:hAnsi="Times New Roman" w:cs="Times New Roman"/>
          <w:lang w:eastAsia="zh-CN"/>
        </w:rPr>
        <w:t>This information inspires us</w:t>
      </w:r>
      <w:r>
        <w:rPr>
          <w:rFonts w:ascii="Times New Roman" w:hAnsi="Times New Roman" w:cs="Times New Roman"/>
          <w:lang w:eastAsia="zh-CN"/>
        </w:rPr>
        <w:t xml:space="preserve"> that healthcare can be a protected sector.</w:t>
      </w:r>
    </w:p>
    <w:p w:rsidR="009C46C1" w:rsidRDefault="009C46C1" w:rsidP="0040209B">
      <w:pPr>
        <w:snapToGrid w:val="0"/>
        <w:spacing w:after="0" w:line="276" w:lineRule="auto"/>
        <w:jc w:val="both"/>
        <w:rPr>
          <w:rFonts w:ascii="Times New Roman" w:hAnsi="Times New Roman" w:cs="Times New Roman"/>
          <w:lang w:eastAsia="zh-CN"/>
        </w:rPr>
      </w:pPr>
    </w:p>
    <w:p w:rsidR="009C46C1" w:rsidRDefault="009C46C1" w:rsidP="0040209B">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E</w:t>
      </w:r>
      <w:r>
        <w:rPr>
          <w:rFonts w:ascii="Times New Roman" w:hAnsi="Times New Roman" w:cs="Times New Roman"/>
          <w:lang w:eastAsia="zh-CN"/>
        </w:rPr>
        <w:t xml:space="preserve">specially, we find telehealth as a promising </w:t>
      </w:r>
      <w:r>
        <w:rPr>
          <w:rFonts w:ascii="Times New Roman" w:hAnsi="Times New Roman" w:cs="Times New Roman" w:hint="eastAsia"/>
          <w:lang w:eastAsia="zh-CN"/>
        </w:rPr>
        <w:t>s</w:t>
      </w:r>
      <w:r>
        <w:rPr>
          <w:rFonts w:ascii="Times New Roman" w:hAnsi="Times New Roman" w:cs="Times New Roman"/>
          <w:lang w:eastAsia="zh-CN"/>
        </w:rPr>
        <w:t>ector within the Sector Healthcare</w:t>
      </w:r>
      <w:r w:rsidR="00FA734F">
        <w:rPr>
          <w:rFonts w:ascii="Times New Roman" w:hAnsi="Times New Roman" w:cs="Times New Roman" w:hint="eastAsia"/>
          <w:lang w:eastAsia="zh-CN"/>
        </w:rPr>
        <w:t>.</w:t>
      </w:r>
      <w:r w:rsidR="00FA734F">
        <w:rPr>
          <w:rFonts w:ascii="Times New Roman" w:hAnsi="Times New Roman" w:cs="Times New Roman"/>
          <w:lang w:eastAsia="zh-CN"/>
        </w:rPr>
        <w:t xml:space="preserve"> With more and more attention and funding, </w:t>
      </w:r>
      <w:r w:rsidR="00FA734F">
        <w:rPr>
          <w:rFonts w:ascii="Times New Roman" w:hAnsi="Times New Roman" w:cs="Times New Roman"/>
          <w:lang w:eastAsia="zh-CN"/>
        </w:rPr>
        <w:t>telehealth</w:t>
      </w:r>
      <w:r w:rsidR="00FA734F">
        <w:rPr>
          <w:rFonts w:ascii="Times New Roman" w:hAnsi="Times New Roman" w:cs="Times New Roman"/>
          <w:lang w:eastAsia="zh-CN"/>
        </w:rPr>
        <w:t xml:space="preserve"> will develop </w:t>
      </w:r>
      <w:r w:rsidR="00FA734F">
        <w:rPr>
          <w:rFonts w:ascii="Times New Roman" w:hAnsi="Times New Roman" w:cs="Times New Roman" w:hint="eastAsia"/>
          <w:lang w:eastAsia="zh-CN"/>
        </w:rPr>
        <w:t>rapid</w:t>
      </w:r>
      <w:r w:rsidR="00FA734F">
        <w:rPr>
          <w:rFonts w:ascii="Times New Roman" w:hAnsi="Times New Roman" w:cs="Times New Roman"/>
          <w:lang w:eastAsia="zh-CN"/>
        </w:rPr>
        <w:t>ly. Also, under the cir</w:t>
      </w:r>
      <w:r w:rsidR="00FA734F">
        <w:rPr>
          <w:rFonts w:ascii="Times New Roman" w:hAnsi="Times New Roman" w:cs="Times New Roman" w:hint="eastAsia"/>
          <w:lang w:eastAsia="zh-CN"/>
        </w:rPr>
        <w:t xml:space="preserve">cumstance </w:t>
      </w:r>
      <w:r w:rsidR="00FA734F">
        <w:rPr>
          <w:rFonts w:ascii="Times New Roman" w:hAnsi="Times New Roman" w:cs="Times New Roman"/>
          <w:lang w:eastAsia="zh-CN"/>
        </w:rPr>
        <w:t xml:space="preserve">of covid-19, people will quickly </w:t>
      </w:r>
      <w:r w:rsidR="00FA734F" w:rsidRPr="00FA734F">
        <w:rPr>
          <w:rFonts w:ascii="Times New Roman" w:hAnsi="Times New Roman" w:cs="Times New Roman"/>
          <w:lang w:eastAsia="zh-CN"/>
        </w:rPr>
        <w:t>adapt to online medicine</w:t>
      </w:r>
      <w:r w:rsidR="008E6776">
        <w:rPr>
          <w:rFonts w:ascii="Times New Roman" w:hAnsi="Times New Roman" w:cs="Times New Roman"/>
          <w:lang w:eastAsia="zh-CN"/>
        </w:rPr>
        <w:t xml:space="preserve"> and feel comfortable to use it</w:t>
      </w:r>
      <w:r w:rsidR="00FA734F">
        <w:rPr>
          <w:rFonts w:ascii="Times New Roman" w:hAnsi="Times New Roman" w:cs="Times New Roman" w:hint="eastAsia"/>
          <w:lang w:eastAsia="zh-CN"/>
        </w:rPr>
        <w:t>,</w:t>
      </w:r>
      <w:r w:rsidR="00FA734F">
        <w:rPr>
          <w:rFonts w:ascii="Times New Roman" w:hAnsi="Times New Roman" w:cs="Times New Roman"/>
          <w:lang w:eastAsia="zh-CN"/>
        </w:rPr>
        <w:t xml:space="preserve"> which will be an opportunity for the development of </w:t>
      </w:r>
      <w:r w:rsidR="00FA734F">
        <w:rPr>
          <w:rFonts w:ascii="Times New Roman" w:hAnsi="Times New Roman" w:cs="Times New Roman"/>
          <w:lang w:eastAsia="zh-CN"/>
        </w:rPr>
        <w:t>telehealth</w:t>
      </w:r>
      <w:r w:rsidR="00FA734F">
        <w:rPr>
          <w:rFonts w:ascii="Times New Roman" w:hAnsi="Times New Roman" w:cs="Times New Roman"/>
          <w:lang w:eastAsia="zh-CN"/>
        </w:rPr>
        <w:t xml:space="preserve">. We, as students with data analysis backgrounds, can help </w:t>
      </w:r>
      <w:r w:rsidR="00FA734F">
        <w:rPr>
          <w:rFonts w:ascii="Times New Roman" w:hAnsi="Times New Roman" w:cs="Times New Roman"/>
          <w:lang w:eastAsia="zh-CN"/>
        </w:rPr>
        <w:t>telehealth</w:t>
      </w:r>
      <w:r w:rsidR="00FA734F">
        <w:rPr>
          <w:rFonts w:ascii="Times New Roman" w:hAnsi="Times New Roman" w:cs="Times New Roman"/>
          <w:lang w:eastAsia="zh-CN"/>
        </w:rPr>
        <w:t xml:space="preserve"> companies to analyze their huge amount of patient data and provide advanced online medical service</w:t>
      </w:r>
      <w:r w:rsidR="008E6776">
        <w:rPr>
          <w:rFonts w:ascii="Times New Roman" w:hAnsi="Times New Roman" w:cs="Times New Roman"/>
          <w:lang w:eastAsia="zh-CN"/>
        </w:rPr>
        <w:t>s</w:t>
      </w:r>
      <w:r w:rsidR="00FA734F">
        <w:rPr>
          <w:rFonts w:ascii="Times New Roman" w:hAnsi="Times New Roman" w:cs="Times New Roman"/>
          <w:lang w:eastAsia="zh-CN"/>
        </w:rPr>
        <w:t xml:space="preserve"> with AI techniques</w:t>
      </w:r>
      <w:r w:rsidR="008E6776">
        <w:rPr>
          <w:rFonts w:ascii="Times New Roman" w:hAnsi="Times New Roman" w:cs="Times New Roman"/>
          <w:lang w:eastAsia="zh-CN"/>
        </w:rPr>
        <w:t>. Actually,</w:t>
      </w:r>
      <w:r w:rsidR="00FA734F">
        <w:rPr>
          <w:rFonts w:ascii="Times New Roman" w:hAnsi="Times New Roman" w:cs="Times New Roman"/>
          <w:lang w:eastAsia="zh-CN"/>
        </w:rPr>
        <w:t xml:space="preserve"> we have seen may job opportunities </w:t>
      </w:r>
      <w:r w:rsidR="008E6776">
        <w:rPr>
          <w:rFonts w:ascii="Times New Roman" w:hAnsi="Times New Roman" w:cs="Times New Roman"/>
          <w:lang w:eastAsia="zh-CN"/>
        </w:rPr>
        <w:t>in</w:t>
      </w:r>
      <w:r w:rsidR="00FA734F">
        <w:rPr>
          <w:rFonts w:ascii="Times New Roman" w:hAnsi="Times New Roman" w:cs="Times New Roman"/>
          <w:lang w:eastAsia="zh-CN"/>
        </w:rPr>
        <w:t xml:space="preserve"> this area </w:t>
      </w:r>
      <w:r w:rsidR="008E6776">
        <w:rPr>
          <w:rFonts w:ascii="Times New Roman" w:hAnsi="Times New Roman" w:cs="Times New Roman"/>
          <w:lang w:eastAsia="zh-CN"/>
        </w:rPr>
        <w:t>these days</w:t>
      </w:r>
      <w:r w:rsidR="00FA734F">
        <w:rPr>
          <w:rFonts w:ascii="Times New Roman" w:hAnsi="Times New Roman" w:cs="Times New Roman"/>
          <w:lang w:eastAsia="zh-CN"/>
        </w:rPr>
        <w:t xml:space="preserve">. </w:t>
      </w:r>
      <w:r w:rsidR="00FA734F" w:rsidRPr="00FA734F">
        <w:rPr>
          <w:rFonts w:ascii="Times New Roman" w:hAnsi="Times New Roman" w:cs="Times New Roman"/>
          <w:lang w:eastAsia="zh-CN"/>
        </w:rPr>
        <w:t>Despite the current downturn in the labor market</w:t>
      </w:r>
      <w:r w:rsidR="00FA734F">
        <w:rPr>
          <w:rFonts w:ascii="Times New Roman" w:hAnsi="Times New Roman" w:cs="Times New Roman" w:hint="eastAsia"/>
          <w:lang w:eastAsia="zh-CN"/>
        </w:rPr>
        <w:t>,</w:t>
      </w:r>
      <w:r w:rsidR="00FA734F">
        <w:rPr>
          <w:rFonts w:ascii="Times New Roman" w:hAnsi="Times New Roman" w:cs="Times New Roman"/>
          <w:lang w:eastAsia="zh-CN"/>
        </w:rPr>
        <w:t xml:space="preserve"> we find that there are still many </w:t>
      </w:r>
      <w:r w:rsidR="00FA734F">
        <w:rPr>
          <w:rFonts w:ascii="Times New Roman" w:hAnsi="Times New Roman" w:cs="Times New Roman" w:hint="eastAsia"/>
          <w:lang w:eastAsia="zh-CN"/>
        </w:rPr>
        <w:t>e</w:t>
      </w:r>
      <w:r w:rsidR="00FA734F" w:rsidRPr="00FA734F">
        <w:rPr>
          <w:rFonts w:ascii="Times New Roman" w:hAnsi="Times New Roman" w:cs="Times New Roman"/>
          <w:lang w:eastAsia="zh-CN"/>
        </w:rPr>
        <w:t>merging opportunities</w:t>
      </w:r>
      <w:r w:rsidR="00FA734F">
        <w:rPr>
          <w:rFonts w:ascii="Times New Roman" w:hAnsi="Times New Roman" w:cs="Times New Roman"/>
          <w:lang w:eastAsia="zh-CN"/>
        </w:rPr>
        <w:t xml:space="preserve"> in healthcare analysis</w:t>
      </w:r>
      <w:r w:rsidR="008E6776">
        <w:rPr>
          <w:rFonts w:ascii="Times New Roman" w:hAnsi="Times New Roman" w:cs="Times New Roman"/>
          <w:lang w:eastAsia="zh-CN"/>
        </w:rPr>
        <w:t>,</w:t>
      </w:r>
      <w:r w:rsidR="00FA734F">
        <w:rPr>
          <w:rFonts w:ascii="Times New Roman" w:hAnsi="Times New Roman" w:cs="Times New Roman"/>
          <w:lang w:eastAsia="zh-CN"/>
        </w:rPr>
        <w:t xml:space="preserve"> giving us confidence that the sector we are experts in would not be as severely impacted by current crisis.</w:t>
      </w:r>
    </w:p>
    <w:p w:rsidR="00D1742E" w:rsidRDefault="00D1742E" w:rsidP="0040209B">
      <w:pPr>
        <w:snapToGrid w:val="0"/>
        <w:spacing w:after="0" w:line="276" w:lineRule="auto"/>
        <w:jc w:val="both"/>
        <w:rPr>
          <w:rFonts w:ascii="Times New Roman" w:hAnsi="Times New Roman" w:cs="Times New Roman"/>
          <w:lang w:eastAsia="zh-CN"/>
        </w:rPr>
      </w:pPr>
    </w:p>
    <w:p w:rsidR="00D1742E" w:rsidRPr="00BE41BD" w:rsidRDefault="00D1742E" w:rsidP="00D1742E">
      <w:pPr>
        <w:spacing w:before="100" w:beforeAutospacing="1" w:after="0" w:line="360" w:lineRule="auto"/>
        <w:outlineLvl w:val="2"/>
        <w:rPr>
          <w:rFonts w:eastAsia="Times New Roman" w:cstheme="minorHAnsi"/>
          <w:b/>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1BD">
        <w:rPr>
          <w:rFonts w:eastAsia="Times New Roman" w:cstheme="minorHAnsi"/>
          <w:b/>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Q8: Social Implications of An Uneven Market Crash </w:t>
      </w:r>
    </w:p>
    <w:p w:rsidR="00D1742E" w:rsidRDefault="00DB032E" w:rsidP="0040209B">
      <w:pPr>
        <w:snapToGrid w:val="0"/>
        <w:spacing w:after="0" w:line="276" w:lineRule="auto"/>
        <w:jc w:val="both"/>
        <w:rPr>
          <w:rFonts w:ascii="Times New Roman" w:hAnsi="Times New Roman" w:cs="Times New Roman"/>
          <w:lang w:eastAsia="zh-CN"/>
        </w:rPr>
      </w:pPr>
      <w:r>
        <w:rPr>
          <w:rFonts w:ascii="Times New Roman" w:hAnsi="Times New Roman" w:cs="Times New Roman"/>
          <w:lang w:eastAsia="zh-CN"/>
        </w:rPr>
        <w:t>We rank the weighted average of Value Retention of different sectors, and their performance are shown as below.</w:t>
      </w:r>
    </w:p>
    <w:p w:rsidR="00DB032E" w:rsidRPr="00D1742E" w:rsidRDefault="00DB032E" w:rsidP="0040209B">
      <w:pPr>
        <w:snapToGrid w:val="0"/>
        <w:spacing w:after="0" w:line="276" w:lineRule="auto"/>
        <w:jc w:val="both"/>
        <w:rPr>
          <w:rFonts w:ascii="Times New Roman" w:hAnsi="Times New Roman" w:cs="Times New Roman"/>
          <w:lang w:eastAsia="zh-CN"/>
        </w:rPr>
      </w:pPr>
    </w:p>
    <w:p w:rsidR="00D1742E" w:rsidRPr="00DB032E" w:rsidRDefault="00DB032E" w:rsidP="00DB032E">
      <w:pPr>
        <w:snapToGrid w:val="0"/>
        <w:spacing w:after="0" w:line="276" w:lineRule="auto"/>
        <w:jc w:val="center"/>
        <w:rPr>
          <w:rFonts w:ascii="黑体" w:eastAsia="黑体" w:hAnsi="黑体"/>
          <w:b/>
          <w:bCs/>
        </w:rPr>
      </w:pPr>
      <w:r w:rsidRPr="00DB032E">
        <w:rPr>
          <w:rFonts w:ascii="黑体" w:eastAsia="黑体" w:hAnsi="黑体"/>
          <w:b/>
          <w:bCs/>
        </w:rPr>
        <w:t xml:space="preserve">Table </w:t>
      </w:r>
      <w:r w:rsidRPr="00DB032E">
        <w:rPr>
          <w:rFonts w:ascii="黑体" w:eastAsia="黑体" w:hAnsi="黑体"/>
          <w:b/>
          <w:bCs/>
        </w:rPr>
        <w:fldChar w:fldCharType="begin"/>
      </w:r>
      <w:r w:rsidRPr="00DB032E">
        <w:rPr>
          <w:rFonts w:ascii="黑体" w:eastAsia="黑体" w:hAnsi="黑体"/>
          <w:b/>
          <w:bCs/>
        </w:rPr>
        <w:instrText xml:space="preserve"> SEQ Table \* ARABIC </w:instrText>
      </w:r>
      <w:r w:rsidRPr="00DB032E">
        <w:rPr>
          <w:rFonts w:ascii="黑体" w:eastAsia="黑体" w:hAnsi="黑体"/>
          <w:b/>
          <w:bCs/>
        </w:rPr>
        <w:fldChar w:fldCharType="separate"/>
      </w:r>
      <w:r w:rsidR="00725674">
        <w:rPr>
          <w:rFonts w:ascii="黑体" w:eastAsia="黑体" w:hAnsi="黑体"/>
          <w:b/>
          <w:bCs/>
          <w:noProof/>
        </w:rPr>
        <w:t>2</w:t>
      </w:r>
      <w:r w:rsidRPr="00DB032E">
        <w:rPr>
          <w:rFonts w:ascii="黑体" w:eastAsia="黑体" w:hAnsi="黑体"/>
          <w:b/>
          <w:bCs/>
        </w:rPr>
        <w:fldChar w:fldCharType="end"/>
      </w:r>
      <w:r w:rsidRPr="00DB032E">
        <w:rPr>
          <w:rFonts w:ascii="黑体" w:eastAsia="黑体" w:hAnsi="黑体"/>
          <w:b/>
          <w:bCs/>
        </w:rPr>
        <w:t xml:space="preserve"> Weighted average of Value Retention of different sectors</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DB032E" w:rsidRPr="00DB032E" w:rsidTr="00DB032E">
        <w:tc>
          <w:tcPr>
            <w:tcW w:w="5094" w:type="dxa"/>
            <w:tcBorders>
              <w:top w:val="single" w:sz="4" w:space="0" w:color="auto"/>
              <w:bottom w:val="single" w:sz="4" w:space="0" w:color="auto"/>
            </w:tcBorders>
            <w:vAlign w:val="center"/>
          </w:tcPr>
          <w:p w:rsidR="00DB032E" w:rsidRPr="00DB032E" w:rsidRDefault="00DB032E" w:rsidP="00DB032E">
            <w:pPr>
              <w:snapToGrid w:val="0"/>
              <w:spacing w:after="0" w:line="240" w:lineRule="auto"/>
              <w:jc w:val="center"/>
              <w:rPr>
                <w:rFonts w:ascii="Times New Roman" w:eastAsia="DengXian" w:hAnsi="Times New Roman" w:cs="Times New Roman"/>
                <w:b/>
                <w:bCs/>
                <w:color w:val="000000"/>
                <w:sz w:val="24"/>
                <w:szCs w:val="24"/>
                <w:lang w:eastAsia="zh-CN"/>
              </w:rPr>
            </w:pPr>
            <w:proofErr w:type="spellStart"/>
            <w:r w:rsidRPr="00DB032E">
              <w:rPr>
                <w:rFonts w:ascii="Times New Roman" w:eastAsia="DengXian" w:hAnsi="Times New Roman" w:cs="Times New Roman"/>
                <w:b/>
                <w:bCs/>
                <w:color w:val="000000"/>
              </w:rPr>
              <w:t>GICS.Sector</w:t>
            </w:r>
            <w:proofErr w:type="spellEnd"/>
          </w:p>
        </w:tc>
        <w:tc>
          <w:tcPr>
            <w:tcW w:w="5094" w:type="dxa"/>
            <w:tcBorders>
              <w:top w:val="single" w:sz="4" w:space="0" w:color="auto"/>
              <w:bottom w:val="single" w:sz="4" w:space="0" w:color="auto"/>
            </w:tcBorders>
            <w:vAlign w:val="center"/>
          </w:tcPr>
          <w:p w:rsidR="00DB032E" w:rsidRPr="00DB032E" w:rsidRDefault="00DB032E" w:rsidP="00DB032E">
            <w:pPr>
              <w:snapToGrid w:val="0"/>
              <w:spacing w:after="0" w:line="240" w:lineRule="auto"/>
              <w:jc w:val="center"/>
              <w:rPr>
                <w:rFonts w:ascii="Times New Roman" w:eastAsia="DengXian" w:hAnsi="Times New Roman" w:cs="Times New Roman"/>
                <w:b/>
                <w:bCs/>
                <w:color w:val="000000"/>
                <w:sz w:val="24"/>
                <w:szCs w:val="24"/>
                <w:lang w:eastAsia="zh-CN"/>
              </w:rPr>
            </w:pPr>
            <w:proofErr w:type="spellStart"/>
            <w:r w:rsidRPr="00DB032E">
              <w:rPr>
                <w:rFonts w:ascii="Times New Roman" w:eastAsia="DengXian" w:hAnsi="Times New Roman" w:cs="Times New Roman"/>
                <w:b/>
                <w:bCs/>
                <w:color w:val="000000"/>
              </w:rPr>
              <w:t>Weighted_VR</w:t>
            </w:r>
            <w:proofErr w:type="spellEnd"/>
            <w:r w:rsidRPr="00DB032E">
              <w:rPr>
                <w:rFonts w:ascii="Times New Roman" w:eastAsia="DengXian" w:hAnsi="Times New Roman" w:cs="Times New Roman"/>
                <w:b/>
                <w:bCs/>
                <w:color w:val="000000"/>
              </w:rPr>
              <w:t xml:space="preserve"> (%)</w:t>
            </w:r>
          </w:p>
        </w:tc>
      </w:tr>
      <w:tr w:rsidR="00DB032E" w:rsidRPr="00DB032E" w:rsidTr="00DB032E">
        <w:tc>
          <w:tcPr>
            <w:tcW w:w="5094" w:type="dxa"/>
            <w:tcBorders>
              <w:top w:val="single" w:sz="4" w:space="0" w:color="auto"/>
            </w:tcBorders>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Consumer Staples</w:t>
            </w:r>
          </w:p>
        </w:tc>
        <w:tc>
          <w:tcPr>
            <w:tcW w:w="5094" w:type="dxa"/>
            <w:tcBorders>
              <w:top w:val="single" w:sz="4" w:space="0" w:color="auto"/>
            </w:tcBorders>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76.50</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Health Care</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72.1</w:t>
            </w:r>
            <w:r>
              <w:rPr>
                <w:rFonts w:ascii="Times New Roman" w:eastAsia="DengXian" w:hAnsi="Times New Roman" w:cs="Times New Roman"/>
                <w:color w:val="000000"/>
              </w:rPr>
              <w:t>1</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Communication Services</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70.9</w:t>
            </w:r>
            <w:r>
              <w:rPr>
                <w:rFonts w:ascii="Times New Roman" w:eastAsia="DengXian" w:hAnsi="Times New Roman" w:cs="Times New Roman"/>
                <w:color w:val="000000"/>
              </w:rPr>
              <w:t>7</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Information Technology</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69.3</w:t>
            </w:r>
            <w:r>
              <w:rPr>
                <w:rFonts w:ascii="Times New Roman" w:eastAsia="DengXian" w:hAnsi="Times New Roman" w:cs="Times New Roman"/>
                <w:color w:val="000000"/>
              </w:rPr>
              <w:t>4</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Consumer Discretionary</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68.8</w:t>
            </w:r>
            <w:r>
              <w:rPr>
                <w:rFonts w:ascii="Times New Roman" w:eastAsia="DengXian" w:hAnsi="Times New Roman" w:cs="Times New Roman"/>
                <w:color w:val="000000"/>
              </w:rPr>
              <w:t>3</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Utilities</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63.93</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Materials</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63.25</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Real Estate</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60.9</w:t>
            </w:r>
            <w:r>
              <w:rPr>
                <w:rFonts w:ascii="Times New Roman" w:eastAsia="DengXian" w:hAnsi="Times New Roman" w:cs="Times New Roman"/>
                <w:color w:val="000000"/>
              </w:rPr>
              <w:t>5</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Industrials</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57.78</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Financials</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57.15</w:t>
            </w:r>
          </w:p>
        </w:tc>
      </w:tr>
      <w:tr w:rsidR="00DB032E" w:rsidRPr="00DB032E" w:rsidTr="00DB032E">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Energy</w:t>
            </w:r>
          </w:p>
        </w:tc>
        <w:tc>
          <w:tcPr>
            <w:tcW w:w="5094" w:type="dxa"/>
            <w:vAlign w:val="center"/>
          </w:tcPr>
          <w:p w:rsidR="00DB032E" w:rsidRPr="00DB032E" w:rsidRDefault="00DB032E" w:rsidP="00DB032E">
            <w:pPr>
              <w:snapToGrid w:val="0"/>
              <w:spacing w:after="0" w:line="240" w:lineRule="auto"/>
              <w:jc w:val="center"/>
              <w:rPr>
                <w:rFonts w:ascii="Times New Roman" w:eastAsia="DengXian" w:hAnsi="Times New Roman" w:cs="Times New Roman"/>
                <w:color w:val="000000"/>
              </w:rPr>
            </w:pPr>
            <w:r w:rsidRPr="00DB032E">
              <w:rPr>
                <w:rFonts w:ascii="Times New Roman" w:eastAsia="DengXian" w:hAnsi="Times New Roman" w:cs="Times New Roman"/>
                <w:color w:val="000000"/>
              </w:rPr>
              <w:t>44.29</w:t>
            </w:r>
          </w:p>
        </w:tc>
      </w:tr>
    </w:tbl>
    <w:p w:rsidR="00DB032E" w:rsidRDefault="00DB032E" w:rsidP="0040209B">
      <w:pPr>
        <w:snapToGrid w:val="0"/>
        <w:spacing w:after="0" w:line="276" w:lineRule="auto"/>
        <w:jc w:val="both"/>
        <w:rPr>
          <w:rFonts w:ascii="Times New Roman" w:hAnsi="Times New Roman" w:cs="Times New Roman"/>
          <w:lang w:eastAsia="zh-CN"/>
        </w:rPr>
      </w:pPr>
    </w:p>
    <w:p w:rsidR="00CB5924" w:rsidRDefault="00CB5924" w:rsidP="00725674">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It</w:t>
      </w:r>
      <w:r>
        <w:rPr>
          <w:rFonts w:ascii="Times New Roman" w:hAnsi="Times New Roman" w:cs="Times New Roman"/>
          <w:lang w:eastAsia="zh-CN"/>
        </w:rPr>
        <w:t xml:space="preserve"> can be seen that sectors like Health Care, Communication Services, and Information Technology are relatively better protected </w:t>
      </w:r>
      <w:r w:rsidR="00584371">
        <w:rPr>
          <w:rFonts w:ascii="Times New Roman" w:hAnsi="Times New Roman" w:cs="Times New Roman"/>
          <w:lang w:eastAsia="zh-CN"/>
        </w:rPr>
        <w:t xml:space="preserve">under covid-19 </w:t>
      </w:r>
      <w:r>
        <w:rPr>
          <w:rFonts w:ascii="Times New Roman" w:hAnsi="Times New Roman" w:cs="Times New Roman"/>
          <w:lang w:eastAsia="zh-CN"/>
        </w:rPr>
        <w:t>with less decrease in value</w:t>
      </w:r>
      <w:r w:rsidR="00584371">
        <w:rPr>
          <w:rFonts w:ascii="Times New Roman" w:hAnsi="Times New Roman" w:cs="Times New Roman"/>
          <w:lang w:eastAsia="zh-CN"/>
        </w:rPr>
        <w:t xml:space="preserve">. We regard sectors in this condition as chance of survival group. </w:t>
      </w:r>
      <w:r w:rsidR="00584371" w:rsidRPr="00584371">
        <w:rPr>
          <w:rFonts w:ascii="Times New Roman" w:hAnsi="Times New Roman" w:cs="Times New Roman"/>
          <w:lang w:eastAsia="zh-CN"/>
        </w:rPr>
        <w:t>By contraries</w:t>
      </w:r>
      <w:r w:rsidR="00584371">
        <w:rPr>
          <w:rFonts w:ascii="Times New Roman" w:hAnsi="Times New Roman" w:cs="Times New Roman" w:hint="eastAsia"/>
          <w:lang w:eastAsia="zh-CN"/>
        </w:rPr>
        <w:t>,</w:t>
      </w:r>
      <w:r w:rsidR="00584371">
        <w:rPr>
          <w:rFonts w:ascii="Times New Roman" w:hAnsi="Times New Roman" w:cs="Times New Roman"/>
          <w:lang w:eastAsia="zh-CN"/>
        </w:rPr>
        <w:t xml:space="preserve"> </w:t>
      </w:r>
      <w:r w:rsidR="00584371">
        <w:rPr>
          <w:rFonts w:ascii="Times New Roman" w:hAnsi="Times New Roman" w:cs="Times New Roman"/>
          <w:lang w:eastAsia="zh-CN"/>
        </w:rPr>
        <w:t xml:space="preserve">sectors like </w:t>
      </w:r>
      <w:r w:rsidR="00584371">
        <w:rPr>
          <w:rFonts w:ascii="Times New Roman" w:hAnsi="Times New Roman" w:cs="Times New Roman"/>
          <w:lang w:eastAsia="zh-CN"/>
        </w:rPr>
        <w:t>Industrials and</w:t>
      </w:r>
      <w:r w:rsidR="00584371">
        <w:rPr>
          <w:rFonts w:ascii="Times New Roman" w:hAnsi="Times New Roman" w:cs="Times New Roman"/>
          <w:lang w:eastAsia="zh-CN"/>
        </w:rPr>
        <w:t xml:space="preserve"> </w:t>
      </w:r>
      <w:r w:rsidR="00584371">
        <w:rPr>
          <w:rFonts w:ascii="Times New Roman" w:hAnsi="Times New Roman" w:cs="Times New Roman"/>
          <w:lang w:eastAsia="zh-CN"/>
        </w:rPr>
        <w:t>Energy</w:t>
      </w:r>
      <w:r w:rsidR="00584371">
        <w:rPr>
          <w:rFonts w:ascii="Times New Roman" w:hAnsi="Times New Roman" w:cs="Times New Roman"/>
          <w:lang w:eastAsia="zh-CN"/>
        </w:rPr>
        <w:t xml:space="preserve"> are relatively</w:t>
      </w:r>
      <w:r w:rsidR="00584371">
        <w:rPr>
          <w:rFonts w:ascii="Times New Roman" w:hAnsi="Times New Roman" w:cs="Times New Roman"/>
          <w:lang w:eastAsia="zh-CN"/>
        </w:rPr>
        <w:t xml:space="preserve"> less immune to sudden crashes due to</w:t>
      </w:r>
      <w:r w:rsidR="00584371">
        <w:rPr>
          <w:rFonts w:ascii="Times New Roman" w:hAnsi="Times New Roman" w:cs="Times New Roman"/>
          <w:lang w:eastAsia="zh-CN"/>
        </w:rPr>
        <w:t xml:space="preserve"> covid-19 with </w:t>
      </w:r>
      <w:r w:rsidR="00584371">
        <w:rPr>
          <w:rFonts w:ascii="Times New Roman" w:hAnsi="Times New Roman" w:cs="Times New Roman"/>
          <w:lang w:eastAsia="zh-CN"/>
        </w:rPr>
        <w:t>dramatic</w:t>
      </w:r>
      <w:r w:rsidR="00584371">
        <w:rPr>
          <w:rFonts w:ascii="Times New Roman" w:hAnsi="Times New Roman" w:cs="Times New Roman"/>
          <w:lang w:eastAsia="zh-CN"/>
        </w:rPr>
        <w:t xml:space="preserve"> decrease in value.</w:t>
      </w:r>
      <w:r w:rsidR="00584371">
        <w:rPr>
          <w:rFonts w:ascii="Times New Roman" w:hAnsi="Times New Roman" w:cs="Times New Roman"/>
          <w:lang w:eastAsia="zh-CN"/>
        </w:rPr>
        <w:t xml:space="preserve"> We </w:t>
      </w:r>
      <w:r w:rsidR="00584371">
        <w:rPr>
          <w:rFonts w:ascii="Times New Roman" w:hAnsi="Times New Roman" w:cs="Times New Roman"/>
          <w:lang w:eastAsia="zh-CN"/>
        </w:rPr>
        <w:t>regard sectors in this condition as</w:t>
      </w:r>
      <w:r w:rsidR="00584371">
        <w:rPr>
          <w:rFonts w:ascii="Times New Roman" w:hAnsi="Times New Roman" w:cs="Times New Roman"/>
          <w:lang w:eastAsia="zh-CN"/>
        </w:rPr>
        <w:t xml:space="preserve"> risk of collapse group.</w:t>
      </w:r>
    </w:p>
    <w:p w:rsidR="00584371" w:rsidRDefault="00584371" w:rsidP="00725674">
      <w:pPr>
        <w:snapToGrid w:val="0"/>
        <w:spacing w:after="0" w:line="276" w:lineRule="auto"/>
        <w:jc w:val="both"/>
        <w:rPr>
          <w:rFonts w:ascii="Times New Roman" w:hAnsi="Times New Roman" w:cs="Times New Roman"/>
          <w:lang w:eastAsia="zh-CN"/>
        </w:rPr>
      </w:pPr>
    </w:p>
    <w:p w:rsidR="00725674" w:rsidRDefault="00584371" w:rsidP="00725674">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e find that there are significant differences in education status between these two groups.</w:t>
      </w:r>
      <w:r w:rsidR="00725674">
        <w:rPr>
          <w:rFonts w:ascii="Times New Roman" w:hAnsi="Times New Roman" w:cs="Times New Roman"/>
          <w:lang w:eastAsia="zh-CN"/>
        </w:rPr>
        <w:t xml:space="preserve"> According to U.S. Bureau of Labor Statistics, a</w:t>
      </w:r>
      <w:r w:rsidR="00725674" w:rsidRPr="00725674">
        <w:rPr>
          <w:rFonts w:ascii="Times New Roman" w:hAnsi="Times New Roman" w:cs="Times New Roman"/>
          <w:lang w:eastAsia="zh-CN"/>
        </w:rPr>
        <w:t>mong the employed, the likelihood of working in a management, professional, or related occupation increases with educational attainment. By contrast, the likelihood of working in service occupations; natural resources, construction, and maintenance occupations; and production, transportation, and material moving occupations decreases by educational attainment.</w:t>
      </w:r>
    </w:p>
    <w:p w:rsidR="00725674" w:rsidRPr="00725674" w:rsidRDefault="00725674" w:rsidP="00725674">
      <w:pPr>
        <w:snapToGrid w:val="0"/>
        <w:spacing w:after="0" w:line="276" w:lineRule="auto"/>
        <w:jc w:val="both"/>
        <w:rPr>
          <w:rFonts w:ascii="Times New Roman" w:hAnsi="Times New Roman" w:cs="Times New Roman"/>
          <w:lang w:eastAsia="zh-CN"/>
        </w:rPr>
      </w:pPr>
      <w:r w:rsidRPr="00725674">
        <w:rPr>
          <w:rFonts w:ascii="Times New Roman" w:hAnsi="Times New Roman" w:cs="Times New Roman"/>
          <w:lang w:eastAsia="zh-CN"/>
        </w:rPr>
        <w:lastRenderedPageBreak/>
        <w:t>In 2016, the majority of employed people with at least a bachelor’s degree worked in management, professional, and related occupations. Sixty-three percent of people with a bachelor’s degree, 85</w:t>
      </w:r>
      <w:r>
        <w:rPr>
          <w:rFonts w:ascii="Times New Roman" w:hAnsi="Times New Roman" w:cs="Times New Roman"/>
          <w:lang w:eastAsia="zh-CN"/>
        </w:rPr>
        <w:t>%</w:t>
      </w:r>
      <w:r w:rsidRPr="00725674">
        <w:rPr>
          <w:rFonts w:ascii="Times New Roman" w:hAnsi="Times New Roman" w:cs="Times New Roman"/>
          <w:lang w:eastAsia="zh-CN"/>
        </w:rPr>
        <w:t>with a master’s degree, 91</w:t>
      </w:r>
      <w:r>
        <w:rPr>
          <w:rFonts w:ascii="Times New Roman" w:hAnsi="Times New Roman" w:cs="Times New Roman"/>
          <w:lang w:eastAsia="zh-CN"/>
        </w:rPr>
        <w:t xml:space="preserve">% </w:t>
      </w:r>
      <w:r w:rsidRPr="00725674">
        <w:rPr>
          <w:rFonts w:ascii="Times New Roman" w:hAnsi="Times New Roman" w:cs="Times New Roman"/>
          <w:lang w:eastAsia="zh-CN"/>
        </w:rPr>
        <w:t>with a professional degree, and 94</w:t>
      </w:r>
      <w:r>
        <w:rPr>
          <w:rFonts w:ascii="Times New Roman" w:hAnsi="Times New Roman" w:cs="Times New Roman"/>
          <w:lang w:eastAsia="zh-CN"/>
        </w:rPr>
        <w:t>%</w:t>
      </w:r>
      <w:r w:rsidRPr="00725674">
        <w:rPr>
          <w:rFonts w:ascii="Times New Roman" w:hAnsi="Times New Roman" w:cs="Times New Roman"/>
          <w:lang w:eastAsia="zh-CN"/>
        </w:rPr>
        <w:t xml:space="preserve"> with a doctoral degree worked in this occupational group.</w:t>
      </w:r>
    </w:p>
    <w:p w:rsidR="00725674" w:rsidRDefault="00725674" w:rsidP="00725674">
      <w:pPr>
        <w:snapToGrid w:val="0"/>
        <w:spacing w:after="0" w:line="276" w:lineRule="auto"/>
        <w:jc w:val="both"/>
        <w:rPr>
          <w:rFonts w:ascii="Times New Roman" w:hAnsi="Times New Roman" w:cs="Times New Roman"/>
          <w:lang w:eastAsia="zh-CN"/>
        </w:rPr>
      </w:pPr>
    </w:p>
    <w:p w:rsidR="00725674" w:rsidRPr="00725674" w:rsidRDefault="00725674" w:rsidP="00725674">
      <w:pPr>
        <w:snapToGrid w:val="0"/>
        <w:spacing w:after="0" w:line="276" w:lineRule="auto"/>
        <w:jc w:val="both"/>
        <w:rPr>
          <w:rFonts w:ascii="Times New Roman" w:hAnsi="Times New Roman" w:cs="Times New Roman"/>
          <w:lang w:eastAsia="zh-CN"/>
        </w:rPr>
      </w:pPr>
      <w:r w:rsidRPr="00725674">
        <w:rPr>
          <w:rFonts w:ascii="Times New Roman" w:hAnsi="Times New Roman" w:cs="Times New Roman"/>
          <w:lang w:eastAsia="zh-CN"/>
        </w:rPr>
        <w:t>Workers with less than a high school diploma had the highest likelihood of being employed in service (32</w:t>
      </w:r>
      <w:r>
        <w:rPr>
          <w:rFonts w:ascii="Times New Roman" w:hAnsi="Times New Roman" w:cs="Times New Roman"/>
          <w:lang w:eastAsia="zh-CN"/>
        </w:rPr>
        <w:t>%</w:t>
      </w:r>
      <w:r w:rsidRPr="00725674">
        <w:rPr>
          <w:rFonts w:ascii="Times New Roman" w:hAnsi="Times New Roman" w:cs="Times New Roman"/>
          <w:lang w:eastAsia="zh-CN"/>
        </w:rPr>
        <w:t>); natural resources, construction, and maintenance (25</w:t>
      </w:r>
      <w:r>
        <w:rPr>
          <w:rFonts w:ascii="Times New Roman" w:hAnsi="Times New Roman" w:cs="Times New Roman"/>
          <w:lang w:eastAsia="zh-CN"/>
        </w:rPr>
        <w:t>%</w:t>
      </w:r>
      <w:r w:rsidRPr="00725674">
        <w:rPr>
          <w:rFonts w:ascii="Times New Roman" w:hAnsi="Times New Roman" w:cs="Times New Roman"/>
          <w:lang w:eastAsia="zh-CN"/>
        </w:rPr>
        <w:t xml:space="preserve">); and in production, transportation, and material moving (25 </w:t>
      </w:r>
      <w:r>
        <w:rPr>
          <w:rFonts w:ascii="Times New Roman" w:hAnsi="Times New Roman" w:cs="Times New Roman"/>
          <w:lang w:eastAsia="zh-CN"/>
        </w:rPr>
        <w:t>%</w:t>
      </w:r>
      <w:r w:rsidRPr="00725674">
        <w:rPr>
          <w:rFonts w:ascii="Times New Roman" w:hAnsi="Times New Roman" w:cs="Times New Roman"/>
          <w:lang w:eastAsia="zh-CN"/>
        </w:rPr>
        <w:t>) occupations. Less than 1 in 10 were employed in management, professional, and related occupations.</w:t>
      </w:r>
    </w:p>
    <w:p w:rsidR="00725674" w:rsidRDefault="00725674" w:rsidP="00725674">
      <w:pPr>
        <w:snapToGrid w:val="0"/>
        <w:spacing w:after="0" w:line="276" w:lineRule="auto"/>
        <w:jc w:val="both"/>
        <w:rPr>
          <w:rFonts w:ascii="Times New Roman" w:hAnsi="Times New Roman" w:cs="Times New Roman"/>
          <w:lang w:eastAsia="zh-CN"/>
        </w:rPr>
      </w:pPr>
    </w:p>
    <w:p w:rsidR="00725674" w:rsidRPr="00725674" w:rsidRDefault="00725674" w:rsidP="00725674">
      <w:pPr>
        <w:snapToGrid w:val="0"/>
        <w:spacing w:after="0" w:line="276" w:lineRule="auto"/>
        <w:jc w:val="both"/>
        <w:rPr>
          <w:rFonts w:ascii="Times New Roman" w:hAnsi="Times New Roman" w:cs="Times New Roman"/>
          <w:lang w:eastAsia="zh-CN"/>
        </w:rPr>
      </w:pPr>
      <w:r w:rsidRPr="00725674">
        <w:rPr>
          <w:rFonts w:ascii="Times New Roman" w:hAnsi="Times New Roman" w:cs="Times New Roman"/>
          <w:lang w:eastAsia="zh-CN"/>
        </w:rPr>
        <w:t>Workers most likely to be in sales and office occupations were those who had at least a high school diploma but did not have an advanced degree.</w:t>
      </w:r>
    </w:p>
    <w:p w:rsidR="00725674" w:rsidRDefault="00725674" w:rsidP="0040209B">
      <w:pPr>
        <w:snapToGrid w:val="0"/>
        <w:spacing w:after="0" w:line="276" w:lineRule="auto"/>
        <w:jc w:val="both"/>
        <w:rPr>
          <w:rFonts w:ascii="Times New Roman" w:hAnsi="Times New Roman" w:cs="Times New Roman"/>
          <w:lang w:eastAsia="zh-CN"/>
        </w:rPr>
      </w:pPr>
    </w:p>
    <w:p w:rsidR="00725674" w:rsidRDefault="00725674" w:rsidP="0040209B">
      <w:pPr>
        <w:snapToGrid w:val="0"/>
        <w:spacing w:after="0" w:line="276" w:lineRule="auto"/>
        <w:jc w:val="both"/>
        <w:rPr>
          <w:rFonts w:ascii="Times New Roman" w:hAnsi="Times New Roman" w:cs="Times New Roman"/>
          <w:lang w:eastAsia="zh-CN"/>
        </w:rPr>
      </w:pPr>
      <w:r>
        <w:rPr>
          <w:rFonts w:ascii="Times New Roman" w:hAnsi="Times New Roman" w:cs="Times New Roman" w:hint="eastAsia"/>
          <w:lang w:eastAsia="zh-CN"/>
        </w:rPr>
        <w:t>I</w:t>
      </w:r>
      <w:r>
        <w:rPr>
          <w:rFonts w:ascii="Times New Roman" w:hAnsi="Times New Roman" w:cs="Times New Roman"/>
          <w:lang w:eastAsia="zh-CN"/>
        </w:rPr>
        <w:t xml:space="preserve">n other words, the sectors of </w:t>
      </w:r>
      <w:r>
        <w:rPr>
          <w:rFonts w:ascii="Times New Roman" w:hAnsi="Times New Roman" w:cs="Times New Roman"/>
          <w:lang w:eastAsia="zh-CN"/>
        </w:rPr>
        <w:t>chance of survival group</w:t>
      </w:r>
      <w:r>
        <w:rPr>
          <w:rFonts w:ascii="Times New Roman" w:hAnsi="Times New Roman" w:cs="Times New Roman"/>
          <w:lang w:eastAsia="zh-CN"/>
        </w:rPr>
        <w:t xml:space="preserve"> such as </w:t>
      </w:r>
      <w:r>
        <w:rPr>
          <w:rFonts w:ascii="Times New Roman" w:hAnsi="Times New Roman" w:cs="Times New Roman"/>
          <w:lang w:eastAsia="zh-CN"/>
        </w:rPr>
        <w:t>Health Care, Communication Services, and Information Technology</w:t>
      </w:r>
      <w:r>
        <w:rPr>
          <w:rFonts w:ascii="Times New Roman" w:hAnsi="Times New Roman" w:cs="Times New Roman"/>
          <w:lang w:eastAsia="zh-CN"/>
        </w:rPr>
        <w:t xml:space="preserve"> are mostly the social clubs of employment of highly educated and elite workforce, while blue-collar contrast mostly in the groups with sectors already at the risk of collapse.</w:t>
      </w:r>
    </w:p>
    <w:p w:rsidR="00725674" w:rsidRDefault="00725674" w:rsidP="0040209B">
      <w:pPr>
        <w:snapToGrid w:val="0"/>
        <w:spacing w:after="0" w:line="276" w:lineRule="auto"/>
        <w:jc w:val="both"/>
        <w:rPr>
          <w:rFonts w:ascii="Times New Roman" w:hAnsi="Times New Roman" w:cs="Times New Roman"/>
          <w:lang w:eastAsia="zh-CN"/>
        </w:rPr>
      </w:pPr>
    </w:p>
    <w:p w:rsidR="00725674" w:rsidRDefault="00725674" w:rsidP="0040209B">
      <w:pPr>
        <w:snapToGrid w:val="0"/>
        <w:spacing w:after="0" w:line="276" w:lineRule="auto"/>
        <w:jc w:val="both"/>
        <w:rPr>
          <w:rFonts w:ascii="Times New Roman" w:hAnsi="Times New Roman" w:cs="Times New Roman" w:hint="eastAsia"/>
          <w:lang w:eastAsia="zh-CN"/>
        </w:rPr>
      </w:pPr>
      <w:r>
        <w:rPr>
          <w:rFonts w:ascii="Times New Roman" w:hAnsi="Times New Roman" w:cs="Times New Roman"/>
          <w:lang w:eastAsia="zh-CN"/>
        </w:rPr>
        <w:t xml:space="preserve">To conclude, </w:t>
      </w:r>
      <w:r w:rsidR="00E24CD6">
        <w:rPr>
          <w:rFonts w:ascii="Times New Roman" w:hAnsi="Times New Roman" w:cs="Times New Roman"/>
          <w:lang w:eastAsia="zh-CN"/>
        </w:rPr>
        <w:t xml:space="preserve">the market may encounter even more of inequality of job opportunity hence income and wealth after corona virus. People with low education level will face with high risk of losing job and worse health condition due to </w:t>
      </w:r>
      <w:r w:rsidR="00E24CD6">
        <w:rPr>
          <w:rFonts w:ascii="Times New Roman" w:hAnsi="Times New Roman" w:cs="Times New Roman" w:hint="eastAsia"/>
          <w:lang w:eastAsia="zh-CN"/>
        </w:rPr>
        <w:t>payment</w:t>
      </w:r>
      <w:r w:rsidR="00E24CD6">
        <w:rPr>
          <w:rFonts w:ascii="Times New Roman" w:hAnsi="Times New Roman" w:cs="Times New Roman"/>
          <w:lang w:eastAsia="zh-CN"/>
        </w:rPr>
        <w:t xml:space="preserve"> failure.</w:t>
      </w:r>
    </w:p>
    <w:p w:rsidR="00725674" w:rsidRDefault="00725674" w:rsidP="00725674">
      <w:pPr>
        <w:snapToGrid w:val="0"/>
        <w:spacing w:after="0" w:line="276" w:lineRule="auto"/>
        <w:jc w:val="center"/>
        <w:rPr>
          <w:rFonts w:ascii="Times New Roman" w:hAnsi="Times New Roman" w:cs="Times New Roman"/>
          <w:lang w:eastAsia="zh-CN"/>
        </w:rPr>
      </w:pPr>
      <w:r>
        <w:rPr>
          <w:rFonts w:ascii="Times New Roman" w:hAnsi="Times New Roman" w:cs="Times New Roman" w:hint="eastAsia"/>
          <w:noProof/>
          <w:lang w:eastAsia="zh-CN"/>
        </w:rPr>
        <w:drawing>
          <wp:inline distT="0" distB="0" distL="0" distR="0">
            <wp:extent cx="5742516" cy="5445760"/>
            <wp:effectExtent l="0" t="0" r="0" b="254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4182" cy="5466306"/>
                    </a:xfrm>
                    <a:prstGeom prst="rect">
                      <a:avLst/>
                    </a:prstGeom>
                  </pic:spPr>
                </pic:pic>
              </a:graphicData>
            </a:graphic>
          </wp:inline>
        </w:drawing>
      </w:r>
    </w:p>
    <w:p w:rsidR="00725674" w:rsidRPr="00725674" w:rsidRDefault="00725674" w:rsidP="00725674">
      <w:pPr>
        <w:snapToGrid w:val="0"/>
        <w:spacing w:after="0" w:line="276" w:lineRule="auto"/>
        <w:jc w:val="center"/>
        <w:rPr>
          <w:rFonts w:ascii="黑体" w:eastAsia="黑体" w:hAnsi="黑体" w:hint="eastAsia"/>
          <w:b/>
          <w:bCs/>
        </w:rPr>
      </w:pPr>
      <w:r w:rsidRPr="00725674">
        <w:rPr>
          <w:rFonts w:ascii="黑体" w:eastAsia="黑体" w:hAnsi="黑体"/>
          <w:b/>
          <w:bCs/>
        </w:rPr>
        <w:t xml:space="preserve">Figure </w:t>
      </w:r>
      <w:r w:rsidRPr="00725674">
        <w:rPr>
          <w:rFonts w:ascii="黑体" w:eastAsia="黑体" w:hAnsi="黑体"/>
          <w:b/>
          <w:bCs/>
        </w:rPr>
        <w:fldChar w:fldCharType="begin"/>
      </w:r>
      <w:r w:rsidRPr="00725674">
        <w:rPr>
          <w:rFonts w:ascii="黑体" w:eastAsia="黑体" w:hAnsi="黑体"/>
          <w:b/>
          <w:bCs/>
        </w:rPr>
        <w:instrText xml:space="preserve"> SEQ Figure \* ARABIC </w:instrText>
      </w:r>
      <w:r w:rsidRPr="00725674">
        <w:rPr>
          <w:rFonts w:ascii="黑体" w:eastAsia="黑体" w:hAnsi="黑体"/>
          <w:b/>
          <w:bCs/>
        </w:rPr>
        <w:fldChar w:fldCharType="separate"/>
      </w:r>
      <w:r w:rsidRPr="00725674">
        <w:rPr>
          <w:rFonts w:ascii="黑体" w:eastAsia="黑体" w:hAnsi="黑体"/>
          <w:b/>
          <w:bCs/>
        </w:rPr>
        <w:t>1</w:t>
      </w:r>
      <w:r w:rsidRPr="00725674">
        <w:rPr>
          <w:rFonts w:ascii="黑体" w:eastAsia="黑体" w:hAnsi="黑体"/>
          <w:b/>
          <w:bCs/>
        </w:rPr>
        <w:fldChar w:fldCharType="end"/>
      </w:r>
      <w:r w:rsidRPr="00725674">
        <w:rPr>
          <w:rFonts w:ascii="黑体" w:eastAsia="黑体" w:hAnsi="黑体"/>
          <w:b/>
          <w:bCs/>
        </w:rPr>
        <w:t xml:space="preserve"> Occupations vary by education</w:t>
      </w:r>
    </w:p>
    <w:sectPr w:rsidR="00725674" w:rsidRPr="00725674" w:rsidSect="00494BB5">
      <w:pgSz w:w="11900" w:h="16840"/>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436" w:rsidRDefault="00725436" w:rsidP="009166A0">
      <w:pPr>
        <w:spacing w:after="0" w:line="240" w:lineRule="auto"/>
      </w:pPr>
      <w:r>
        <w:separator/>
      </w:r>
    </w:p>
  </w:endnote>
  <w:endnote w:type="continuationSeparator" w:id="0">
    <w:p w:rsidR="00725436" w:rsidRDefault="00725436" w:rsidP="0091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436" w:rsidRDefault="00725436" w:rsidP="009166A0">
      <w:pPr>
        <w:spacing w:after="0" w:line="240" w:lineRule="auto"/>
      </w:pPr>
      <w:r>
        <w:separator/>
      </w:r>
    </w:p>
  </w:footnote>
  <w:footnote w:type="continuationSeparator" w:id="0">
    <w:p w:rsidR="00725436" w:rsidRDefault="00725436" w:rsidP="009166A0">
      <w:pPr>
        <w:spacing w:after="0" w:line="240" w:lineRule="auto"/>
      </w:pPr>
      <w:r>
        <w:continuationSeparator/>
      </w:r>
    </w:p>
  </w:footnote>
  <w:footnote w:id="1">
    <w:p w:rsidR="009166A0" w:rsidRPr="009166A0" w:rsidRDefault="009166A0" w:rsidP="009166A0">
      <w:pPr>
        <w:snapToGrid w:val="0"/>
        <w:spacing w:after="0" w:line="240" w:lineRule="auto"/>
        <w:rPr>
          <w:rFonts w:ascii="宋体" w:eastAsia="宋体" w:hAnsi="宋体" w:cs="宋体" w:hint="eastAsia"/>
          <w:sz w:val="24"/>
          <w:szCs w:val="24"/>
          <w:lang w:eastAsia="zh-CN"/>
        </w:rPr>
      </w:pPr>
      <w:r>
        <w:rPr>
          <w:rStyle w:val="a6"/>
        </w:rPr>
        <w:footnoteRef/>
      </w:r>
      <w:r>
        <w:t xml:space="preserve"> </w:t>
      </w:r>
      <w:r w:rsidRPr="009166A0">
        <w:rPr>
          <w:rFonts w:ascii="Times New Roman" w:hAnsi="Times New Roman" w:cs="Times New Roman"/>
          <w:sz w:val="18"/>
          <w:szCs w:val="18"/>
          <w:lang w:eastAsia="zh-CN"/>
        </w:rPr>
        <w:t>https://www.asco.org/practice-policy/policy-issues-statements/asco-in-action/congress-passes-funding-bill-respond</w:t>
      </w:r>
    </w:p>
  </w:footnote>
  <w:footnote w:id="2">
    <w:p w:rsidR="009166A0" w:rsidRPr="009F7639" w:rsidRDefault="009166A0" w:rsidP="009F7639">
      <w:pPr>
        <w:snapToGrid w:val="0"/>
        <w:spacing w:after="0" w:line="240" w:lineRule="auto"/>
        <w:rPr>
          <w:rFonts w:ascii="宋体" w:eastAsia="宋体" w:hAnsi="宋体" w:cs="宋体" w:hint="eastAsia"/>
          <w:sz w:val="24"/>
          <w:szCs w:val="24"/>
          <w:lang w:eastAsia="zh-CN"/>
        </w:rPr>
      </w:pPr>
      <w:r>
        <w:rPr>
          <w:rStyle w:val="a6"/>
        </w:rPr>
        <w:footnoteRef/>
      </w:r>
      <w:r>
        <w:t xml:space="preserve"> </w:t>
      </w:r>
      <w:r w:rsidRPr="009166A0">
        <w:rPr>
          <w:rFonts w:ascii="Times New Roman" w:hAnsi="Times New Roman" w:cs="Times New Roman"/>
          <w:sz w:val="18"/>
          <w:szCs w:val="18"/>
          <w:lang w:eastAsia="zh-CN"/>
        </w:rPr>
        <w:t>https://www.hklaw.com/en/insights/publications/2020/03/coronavirus-response-cares-act-summary</w:t>
      </w:r>
    </w:p>
  </w:footnote>
  <w:footnote w:id="3">
    <w:p w:rsidR="009F7639" w:rsidRPr="00D23BEB" w:rsidRDefault="009F7639" w:rsidP="00D23BEB">
      <w:pPr>
        <w:snapToGrid w:val="0"/>
        <w:spacing w:after="0" w:line="240" w:lineRule="auto"/>
        <w:rPr>
          <w:rFonts w:ascii="Times New Roman" w:hAnsi="Times New Roman" w:cs="Times New Roman" w:hint="eastAsia"/>
          <w:sz w:val="18"/>
          <w:szCs w:val="18"/>
          <w:lang w:eastAsia="zh-CN"/>
        </w:rPr>
      </w:pPr>
      <w:r>
        <w:rPr>
          <w:rStyle w:val="a6"/>
        </w:rPr>
        <w:footnoteRef/>
      </w:r>
      <w:r>
        <w:t xml:space="preserve"> </w:t>
      </w:r>
      <w:r w:rsidRPr="009F7639">
        <w:rPr>
          <w:rFonts w:ascii="Times New Roman" w:hAnsi="Times New Roman" w:cs="Times New Roman"/>
          <w:sz w:val="18"/>
          <w:szCs w:val="18"/>
          <w:lang w:eastAsia="zh-CN"/>
        </w:rPr>
        <w:t>https://www.legion.org/veteranshealthcare/248698/covid-19-stimulus-bill-provides-nearly-20b-va</w:t>
      </w:r>
    </w:p>
  </w:footnote>
  <w:footnote w:id="4">
    <w:p w:rsidR="00D23BEB" w:rsidRPr="00D23BEB" w:rsidRDefault="00D23BEB" w:rsidP="00D23BEB">
      <w:pPr>
        <w:snapToGrid w:val="0"/>
        <w:spacing w:after="0" w:line="240" w:lineRule="auto"/>
        <w:rPr>
          <w:rFonts w:ascii="宋体" w:eastAsia="宋体" w:hAnsi="宋体" w:cs="宋体" w:hint="eastAsia"/>
          <w:sz w:val="24"/>
          <w:szCs w:val="24"/>
          <w:lang w:eastAsia="zh-CN"/>
        </w:rPr>
      </w:pPr>
      <w:r>
        <w:rPr>
          <w:rStyle w:val="a6"/>
        </w:rPr>
        <w:footnoteRef/>
      </w:r>
      <w:r>
        <w:t xml:space="preserve"> </w:t>
      </w:r>
      <w:r w:rsidRPr="00D23BEB">
        <w:rPr>
          <w:rFonts w:ascii="Times New Roman" w:hAnsi="Times New Roman" w:cs="Times New Roman"/>
          <w:sz w:val="18"/>
          <w:szCs w:val="18"/>
          <w:lang w:eastAsia="zh-CN"/>
        </w:rPr>
        <w:t>https://www.hhs.gov/about/news/2020/03/18/hhs-supports-mesa-biotech-develop-rapid-diagnostic-detect-novel-coronavirus-infections.html</w:t>
      </w:r>
    </w:p>
  </w:footnote>
  <w:footnote w:id="5">
    <w:p w:rsidR="00D23BEB" w:rsidRPr="00D23BEB" w:rsidRDefault="00D23BEB" w:rsidP="00D23BEB">
      <w:pPr>
        <w:snapToGrid w:val="0"/>
        <w:spacing w:after="0" w:line="240" w:lineRule="auto"/>
        <w:rPr>
          <w:rFonts w:ascii="宋体" w:eastAsia="宋体" w:hAnsi="宋体" w:cs="宋体"/>
          <w:sz w:val="24"/>
          <w:szCs w:val="24"/>
          <w:lang w:eastAsia="zh-CN"/>
        </w:rPr>
      </w:pPr>
      <w:r>
        <w:rPr>
          <w:rStyle w:val="a6"/>
        </w:rPr>
        <w:footnoteRef/>
      </w:r>
      <w:r>
        <w:t xml:space="preserve"> </w:t>
      </w:r>
      <w:r w:rsidRPr="00D23BEB">
        <w:rPr>
          <w:rFonts w:ascii="Times New Roman" w:hAnsi="Times New Roman" w:cs="Times New Roman"/>
          <w:sz w:val="18"/>
          <w:szCs w:val="18"/>
          <w:lang w:eastAsia="zh-CN"/>
        </w:rPr>
        <w:t>https://techcrunch.com/2020/04/03/emergent-biosolutions-gets-14-5m-in-federal-funding-to-expedite-covid-19-plasma-therapy-development/</w:t>
      </w:r>
    </w:p>
    <w:p w:rsidR="00D23BEB" w:rsidRPr="00D23BEB" w:rsidRDefault="00D23BEB">
      <w:pPr>
        <w:pStyle w:val="a4"/>
        <w:rPr>
          <w:rFonts w:hint="eastAsia"/>
          <w:lang w:eastAsia="zh-CN"/>
        </w:rPr>
      </w:pPr>
    </w:p>
  </w:footnote>
  <w:footnote w:id="6">
    <w:p w:rsidR="00D23BEB" w:rsidRDefault="00D23BEB">
      <w:pPr>
        <w:pStyle w:val="a4"/>
        <w:rPr>
          <w:rFonts w:hint="eastAsia"/>
          <w:lang w:eastAsia="zh-CN"/>
        </w:rPr>
      </w:pPr>
      <w:r>
        <w:rPr>
          <w:rStyle w:val="a6"/>
        </w:rPr>
        <w:footnoteRef/>
      </w:r>
      <w:r>
        <w:t xml:space="preserve"> </w:t>
      </w:r>
      <w:r w:rsidRPr="009166A0">
        <w:rPr>
          <w:rFonts w:ascii="Times New Roman" w:hAnsi="Times New Roman" w:cs="Times New Roman"/>
          <w:lang w:eastAsia="zh-CN"/>
        </w:rPr>
        <w:t>https://www.asco.org/practice-policy/policy-issues-statements/asco-in-action/congress-passes-funding-bill-respond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0359E"/>
    <w:multiLevelType w:val="hybridMultilevel"/>
    <w:tmpl w:val="477812A6"/>
    <w:lvl w:ilvl="0" w:tplc="45D20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B5"/>
    <w:rsid w:val="000B252C"/>
    <w:rsid w:val="00142A27"/>
    <w:rsid w:val="00185A81"/>
    <w:rsid w:val="00236A97"/>
    <w:rsid w:val="00246FA4"/>
    <w:rsid w:val="003431CB"/>
    <w:rsid w:val="003E487B"/>
    <w:rsid w:val="0040209B"/>
    <w:rsid w:val="00405F02"/>
    <w:rsid w:val="00434EF0"/>
    <w:rsid w:val="00494BB5"/>
    <w:rsid w:val="00584371"/>
    <w:rsid w:val="006E2D79"/>
    <w:rsid w:val="007063D2"/>
    <w:rsid w:val="00724865"/>
    <w:rsid w:val="00725436"/>
    <w:rsid w:val="00725674"/>
    <w:rsid w:val="00731613"/>
    <w:rsid w:val="008E6776"/>
    <w:rsid w:val="008F3C93"/>
    <w:rsid w:val="009166A0"/>
    <w:rsid w:val="009C46C1"/>
    <w:rsid w:val="009F7639"/>
    <w:rsid w:val="00B33BF5"/>
    <w:rsid w:val="00BC2FA7"/>
    <w:rsid w:val="00BE743C"/>
    <w:rsid w:val="00CB5924"/>
    <w:rsid w:val="00CD147B"/>
    <w:rsid w:val="00CF2D3A"/>
    <w:rsid w:val="00D1742E"/>
    <w:rsid w:val="00D23BEB"/>
    <w:rsid w:val="00DB032E"/>
    <w:rsid w:val="00E24CD6"/>
    <w:rsid w:val="00FA734F"/>
    <w:rsid w:val="00FC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81C3E"/>
  <w15:chartTrackingRefBased/>
  <w15:docId w15:val="{71AC3345-4581-B54E-B090-A43FCCD0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43C"/>
    <w:pPr>
      <w:spacing w:after="160" w:line="259"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865"/>
    <w:pPr>
      <w:ind w:firstLineChars="200" w:firstLine="420"/>
    </w:pPr>
  </w:style>
  <w:style w:type="paragraph" w:styleId="a4">
    <w:name w:val="footnote text"/>
    <w:basedOn w:val="a"/>
    <w:link w:val="a5"/>
    <w:uiPriority w:val="99"/>
    <w:semiHidden/>
    <w:unhideWhenUsed/>
    <w:rsid w:val="009166A0"/>
    <w:pPr>
      <w:snapToGrid w:val="0"/>
    </w:pPr>
    <w:rPr>
      <w:sz w:val="18"/>
      <w:szCs w:val="18"/>
    </w:rPr>
  </w:style>
  <w:style w:type="character" w:customStyle="1" w:styleId="a5">
    <w:name w:val="脚注文本 字符"/>
    <w:basedOn w:val="a0"/>
    <w:link w:val="a4"/>
    <w:uiPriority w:val="99"/>
    <w:semiHidden/>
    <w:rsid w:val="009166A0"/>
    <w:rPr>
      <w:kern w:val="0"/>
      <w:sz w:val="18"/>
      <w:szCs w:val="18"/>
      <w:lang w:eastAsia="en-US"/>
    </w:rPr>
  </w:style>
  <w:style w:type="character" w:styleId="a6">
    <w:name w:val="footnote reference"/>
    <w:basedOn w:val="a0"/>
    <w:uiPriority w:val="99"/>
    <w:semiHidden/>
    <w:unhideWhenUsed/>
    <w:rsid w:val="009166A0"/>
    <w:rPr>
      <w:vertAlign w:val="superscript"/>
    </w:rPr>
  </w:style>
  <w:style w:type="character" w:styleId="a7">
    <w:name w:val="Hyperlink"/>
    <w:basedOn w:val="a0"/>
    <w:uiPriority w:val="99"/>
    <w:unhideWhenUsed/>
    <w:rsid w:val="009166A0"/>
    <w:rPr>
      <w:color w:val="0000FF"/>
      <w:u w:val="single"/>
    </w:rPr>
  </w:style>
  <w:style w:type="paragraph" w:customStyle="1" w:styleId="para">
    <w:name w:val="para"/>
    <w:basedOn w:val="a"/>
    <w:rsid w:val="0040209B"/>
    <w:pPr>
      <w:spacing w:before="100" w:beforeAutospacing="1" w:after="100" w:afterAutospacing="1" w:line="240" w:lineRule="auto"/>
    </w:pPr>
    <w:rPr>
      <w:rFonts w:ascii="宋体" w:eastAsia="宋体" w:hAnsi="宋体" w:cs="宋体"/>
      <w:sz w:val="24"/>
      <w:szCs w:val="24"/>
      <w:lang w:eastAsia="zh-CN"/>
    </w:rPr>
  </w:style>
  <w:style w:type="character" w:customStyle="1" w:styleId="char">
    <w:name w:val="char"/>
    <w:basedOn w:val="a0"/>
    <w:rsid w:val="0040209B"/>
  </w:style>
  <w:style w:type="character" w:styleId="a8">
    <w:name w:val="Unresolved Mention"/>
    <w:basedOn w:val="a0"/>
    <w:uiPriority w:val="99"/>
    <w:semiHidden/>
    <w:unhideWhenUsed/>
    <w:rsid w:val="00D23BEB"/>
    <w:rPr>
      <w:color w:val="605E5C"/>
      <w:shd w:val="clear" w:color="auto" w:fill="E1DFDD"/>
    </w:rPr>
  </w:style>
  <w:style w:type="paragraph" w:styleId="a9">
    <w:name w:val="caption"/>
    <w:basedOn w:val="a"/>
    <w:next w:val="a"/>
    <w:uiPriority w:val="35"/>
    <w:unhideWhenUsed/>
    <w:qFormat/>
    <w:rsid w:val="00DB032E"/>
    <w:rPr>
      <w:rFonts w:asciiTheme="majorHAnsi" w:eastAsia="黑体" w:hAnsiTheme="majorHAnsi" w:cstheme="majorBidi"/>
      <w:sz w:val="20"/>
      <w:szCs w:val="20"/>
    </w:rPr>
  </w:style>
  <w:style w:type="table" w:styleId="aa">
    <w:name w:val="Table Grid"/>
    <w:basedOn w:val="a1"/>
    <w:uiPriority w:val="39"/>
    <w:rsid w:val="00DB0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725674"/>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92816">
      <w:bodyDiv w:val="1"/>
      <w:marLeft w:val="0"/>
      <w:marRight w:val="0"/>
      <w:marTop w:val="0"/>
      <w:marBottom w:val="0"/>
      <w:divBdr>
        <w:top w:val="none" w:sz="0" w:space="0" w:color="auto"/>
        <w:left w:val="none" w:sz="0" w:space="0" w:color="auto"/>
        <w:bottom w:val="none" w:sz="0" w:space="0" w:color="auto"/>
        <w:right w:val="none" w:sz="0" w:space="0" w:color="auto"/>
      </w:divBdr>
    </w:div>
    <w:div w:id="670792501">
      <w:bodyDiv w:val="1"/>
      <w:marLeft w:val="0"/>
      <w:marRight w:val="0"/>
      <w:marTop w:val="0"/>
      <w:marBottom w:val="0"/>
      <w:divBdr>
        <w:top w:val="none" w:sz="0" w:space="0" w:color="auto"/>
        <w:left w:val="none" w:sz="0" w:space="0" w:color="auto"/>
        <w:bottom w:val="none" w:sz="0" w:space="0" w:color="auto"/>
        <w:right w:val="none" w:sz="0" w:space="0" w:color="auto"/>
      </w:divBdr>
      <w:divsChild>
        <w:div w:id="1394041020">
          <w:marLeft w:val="0"/>
          <w:marRight w:val="0"/>
          <w:marTop w:val="0"/>
          <w:marBottom w:val="0"/>
          <w:divBdr>
            <w:top w:val="none" w:sz="0" w:space="0" w:color="auto"/>
            <w:left w:val="none" w:sz="0" w:space="0" w:color="auto"/>
            <w:bottom w:val="none" w:sz="0" w:space="0" w:color="auto"/>
            <w:right w:val="none" w:sz="0" w:space="0" w:color="auto"/>
          </w:divBdr>
          <w:divsChild>
            <w:div w:id="322321628">
              <w:marLeft w:val="0"/>
              <w:marRight w:val="0"/>
              <w:marTop w:val="0"/>
              <w:marBottom w:val="375"/>
              <w:divBdr>
                <w:top w:val="single" w:sz="6" w:space="0" w:color="CCCCCC"/>
                <w:left w:val="none" w:sz="0" w:space="0" w:color="auto"/>
                <w:bottom w:val="single" w:sz="6" w:space="0" w:color="CCCCCC"/>
                <w:right w:val="none" w:sz="0" w:space="0" w:color="auto"/>
              </w:divBdr>
            </w:div>
          </w:divsChild>
        </w:div>
        <w:div w:id="1608344061">
          <w:marLeft w:val="0"/>
          <w:marRight w:val="450"/>
          <w:marTop w:val="0"/>
          <w:marBottom w:val="300"/>
          <w:divBdr>
            <w:top w:val="none" w:sz="0" w:space="0" w:color="auto"/>
            <w:left w:val="none" w:sz="0" w:space="0" w:color="auto"/>
            <w:bottom w:val="none" w:sz="0" w:space="0" w:color="auto"/>
            <w:right w:val="none" w:sz="0" w:space="0" w:color="auto"/>
          </w:divBdr>
          <w:divsChild>
            <w:div w:id="1334530550">
              <w:marLeft w:val="0"/>
              <w:marRight w:val="0"/>
              <w:marTop w:val="0"/>
              <w:marBottom w:val="0"/>
              <w:divBdr>
                <w:top w:val="none" w:sz="0" w:space="0" w:color="auto"/>
                <w:left w:val="none" w:sz="0" w:space="0" w:color="auto"/>
                <w:bottom w:val="none" w:sz="0" w:space="0" w:color="auto"/>
                <w:right w:val="none" w:sz="0" w:space="0" w:color="auto"/>
              </w:divBdr>
              <w:divsChild>
                <w:div w:id="1666781934">
                  <w:marLeft w:val="0"/>
                  <w:marRight w:val="0"/>
                  <w:marTop w:val="0"/>
                  <w:marBottom w:val="0"/>
                  <w:divBdr>
                    <w:top w:val="none" w:sz="0" w:space="0" w:color="auto"/>
                    <w:left w:val="none" w:sz="0" w:space="0" w:color="auto"/>
                    <w:bottom w:val="none" w:sz="0" w:space="0" w:color="auto"/>
                    <w:right w:val="none" w:sz="0" w:space="0" w:color="auto"/>
                  </w:divBdr>
                  <w:divsChild>
                    <w:div w:id="802503533">
                      <w:marLeft w:val="0"/>
                      <w:marRight w:val="0"/>
                      <w:marTop w:val="0"/>
                      <w:marBottom w:val="0"/>
                      <w:divBdr>
                        <w:top w:val="none" w:sz="0" w:space="0" w:color="auto"/>
                        <w:left w:val="none" w:sz="0" w:space="0" w:color="auto"/>
                        <w:bottom w:val="none" w:sz="0" w:space="0" w:color="auto"/>
                        <w:right w:val="none" w:sz="0" w:space="0" w:color="auto"/>
                      </w:divBdr>
                    </w:div>
                  </w:divsChild>
                </w:div>
                <w:div w:id="12091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947">
          <w:marLeft w:val="0"/>
          <w:marRight w:val="0"/>
          <w:marTop w:val="0"/>
          <w:marBottom w:val="375"/>
          <w:divBdr>
            <w:top w:val="none" w:sz="0" w:space="0" w:color="auto"/>
            <w:left w:val="none" w:sz="0" w:space="0" w:color="auto"/>
            <w:bottom w:val="none" w:sz="0" w:space="0" w:color="auto"/>
            <w:right w:val="none" w:sz="0" w:space="0" w:color="auto"/>
          </w:divBdr>
          <w:divsChild>
            <w:div w:id="1793548419">
              <w:marLeft w:val="0"/>
              <w:marRight w:val="0"/>
              <w:marTop w:val="0"/>
              <w:marBottom w:val="0"/>
              <w:divBdr>
                <w:top w:val="none" w:sz="0" w:space="0" w:color="auto"/>
                <w:left w:val="none" w:sz="0" w:space="0" w:color="auto"/>
                <w:bottom w:val="none" w:sz="0" w:space="0" w:color="auto"/>
                <w:right w:val="none" w:sz="0" w:space="0" w:color="auto"/>
              </w:divBdr>
              <w:divsChild>
                <w:div w:id="1018501775">
                  <w:marLeft w:val="0"/>
                  <w:marRight w:val="0"/>
                  <w:marTop w:val="0"/>
                  <w:marBottom w:val="0"/>
                  <w:divBdr>
                    <w:top w:val="none" w:sz="0" w:space="0" w:color="auto"/>
                    <w:left w:val="none" w:sz="0" w:space="0" w:color="auto"/>
                    <w:bottom w:val="none" w:sz="0" w:space="0" w:color="auto"/>
                    <w:right w:val="none" w:sz="0" w:space="0" w:color="auto"/>
                  </w:divBdr>
                  <w:divsChild>
                    <w:div w:id="1808432295">
                      <w:marLeft w:val="0"/>
                      <w:marRight w:val="0"/>
                      <w:marTop w:val="0"/>
                      <w:marBottom w:val="0"/>
                      <w:divBdr>
                        <w:top w:val="none" w:sz="0" w:space="0" w:color="auto"/>
                        <w:left w:val="none" w:sz="0" w:space="0" w:color="auto"/>
                        <w:bottom w:val="none" w:sz="0" w:space="0" w:color="auto"/>
                        <w:right w:val="none" w:sz="0" w:space="0" w:color="auto"/>
                      </w:divBdr>
                      <w:divsChild>
                        <w:div w:id="1665088483">
                          <w:marLeft w:val="0"/>
                          <w:marRight w:val="0"/>
                          <w:marTop w:val="0"/>
                          <w:marBottom w:val="300"/>
                          <w:divBdr>
                            <w:top w:val="none" w:sz="0" w:space="0" w:color="auto"/>
                            <w:left w:val="none" w:sz="0" w:space="0" w:color="auto"/>
                            <w:bottom w:val="single" w:sz="6" w:space="0" w:color="CCCCCC"/>
                            <w:right w:val="none" w:sz="0" w:space="0" w:color="auto"/>
                          </w:divBdr>
                          <w:divsChild>
                            <w:div w:id="420180829">
                              <w:marLeft w:val="0"/>
                              <w:marRight w:val="0"/>
                              <w:marTop w:val="0"/>
                              <w:marBottom w:val="0"/>
                              <w:divBdr>
                                <w:top w:val="none" w:sz="0" w:space="0" w:color="auto"/>
                                <w:left w:val="none" w:sz="0" w:space="0" w:color="auto"/>
                                <w:bottom w:val="none" w:sz="0" w:space="0" w:color="auto"/>
                                <w:right w:val="none" w:sz="0" w:space="0" w:color="auto"/>
                              </w:divBdr>
                              <w:divsChild>
                                <w:div w:id="1209033018">
                                  <w:marLeft w:val="0"/>
                                  <w:marRight w:val="0"/>
                                  <w:marTop w:val="0"/>
                                  <w:marBottom w:val="300"/>
                                  <w:divBdr>
                                    <w:top w:val="none" w:sz="0" w:space="0" w:color="auto"/>
                                    <w:left w:val="none" w:sz="0" w:space="0" w:color="auto"/>
                                    <w:bottom w:val="none" w:sz="0" w:space="0" w:color="auto"/>
                                    <w:right w:val="none" w:sz="0" w:space="0" w:color="auto"/>
                                  </w:divBdr>
                                </w:div>
                                <w:div w:id="601764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4491606">
                          <w:marLeft w:val="0"/>
                          <w:marRight w:val="0"/>
                          <w:marTop w:val="0"/>
                          <w:marBottom w:val="0"/>
                          <w:divBdr>
                            <w:top w:val="none" w:sz="0" w:space="0" w:color="auto"/>
                            <w:left w:val="none" w:sz="0" w:space="0" w:color="auto"/>
                            <w:bottom w:val="none" w:sz="0" w:space="0" w:color="auto"/>
                            <w:right w:val="none" w:sz="0" w:space="0" w:color="auto"/>
                          </w:divBdr>
                          <w:divsChild>
                            <w:div w:id="38019877">
                              <w:marLeft w:val="0"/>
                              <w:marRight w:val="0"/>
                              <w:marTop w:val="0"/>
                              <w:marBottom w:val="0"/>
                              <w:divBdr>
                                <w:top w:val="none" w:sz="0" w:space="0" w:color="auto"/>
                                <w:left w:val="none" w:sz="0" w:space="0" w:color="auto"/>
                                <w:bottom w:val="none" w:sz="0" w:space="0" w:color="auto"/>
                                <w:right w:val="none" w:sz="0" w:space="0" w:color="auto"/>
                              </w:divBdr>
                              <w:divsChild>
                                <w:div w:id="1132938451">
                                  <w:marLeft w:val="0"/>
                                  <w:marRight w:val="0"/>
                                  <w:marTop w:val="0"/>
                                  <w:marBottom w:val="0"/>
                                  <w:divBdr>
                                    <w:top w:val="none" w:sz="0" w:space="0" w:color="auto"/>
                                    <w:left w:val="none" w:sz="0" w:space="0" w:color="auto"/>
                                    <w:bottom w:val="none" w:sz="0" w:space="0" w:color="auto"/>
                                    <w:right w:val="none" w:sz="0" w:space="0" w:color="auto"/>
                                  </w:divBdr>
                                  <w:divsChild>
                                    <w:div w:id="349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62047">
      <w:bodyDiv w:val="1"/>
      <w:marLeft w:val="0"/>
      <w:marRight w:val="0"/>
      <w:marTop w:val="0"/>
      <w:marBottom w:val="0"/>
      <w:divBdr>
        <w:top w:val="none" w:sz="0" w:space="0" w:color="auto"/>
        <w:left w:val="none" w:sz="0" w:space="0" w:color="auto"/>
        <w:bottom w:val="none" w:sz="0" w:space="0" w:color="auto"/>
        <w:right w:val="none" w:sz="0" w:space="0" w:color="auto"/>
      </w:divBdr>
    </w:div>
    <w:div w:id="854535533">
      <w:bodyDiv w:val="1"/>
      <w:marLeft w:val="0"/>
      <w:marRight w:val="0"/>
      <w:marTop w:val="0"/>
      <w:marBottom w:val="0"/>
      <w:divBdr>
        <w:top w:val="none" w:sz="0" w:space="0" w:color="auto"/>
        <w:left w:val="none" w:sz="0" w:space="0" w:color="auto"/>
        <w:bottom w:val="none" w:sz="0" w:space="0" w:color="auto"/>
        <w:right w:val="none" w:sz="0" w:space="0" w:color="auto"/>
      </w:divBdr>
    </w:div>
    <w:div w:id="871916053">
      <w:bodyDiv w:val="1"/>
      <w:marLeft w:val="0"/>
      <w:marRight w:val="0"/>
      <w:marTop w:val="0"/>
      <w:marBottom w:val="0"/>
      <w:divBdr>
        <w:top w:val="none" w:sz="0" w:space="0" w:color="auto"/>
        <w:left w:val="none" w:sz="0" w:space="0" w:color="auto"/>
        <w:bottom w:val="none" w:sz="0" w:space="0" w:color="auto"/>
        <w:right w:val="none" w:sz="0" w:space="0" w:color="auto"/>
      </w:divBdr>
    </w:div>
    <w:div w:id="1111779513">
      <w:bodyDiv w:val="1"/>
      <w:marLeft w:val="0"/>
      <w:marRight w:val="0"/>
      <w:marTop w:val="0"/>
      <w:marBottom w:val="0"/>
      <w:divBdr>
        <w:top w:val="none" w:sz="0" w:space="0" w:color="auto"/>
        <w:left w:val="none" w:sz="0" w:space="0" w:color="auto"/>
        <w:bottom w:val="none" w:sz="0" w:space="0" w:color="auto"/>
        <w:right w:val="none" w:sz="0" w:space="0" w:color="auto"/>
      </w:divBdr>
    </w:div>
    <w:div w:id="1201430337">
      <w:bodyDiv w:val="1"/>
      <w:marLeft w:val="0"/>
      <w:marRight w:val="0"/>
      <w:marTop w:val="0"/>
      <w:marBottom w:val="0"/>
      <w:divBdr>
        <w:top w:val="none" w:sz="0" w:space="0" w:color="auto"/>
        <w:left w:val="none" w:sz="0" w:space="0" w:color="auto"/>
        <w:bottom w:val="none" w:sz="0" w:space="0" w:color="auto"/>
        <w:right w:val="none" w:sz="0" w:space="0" w:color="auto"/>
      </w:divBdr>
    </w:div>
    <w:div w:id="1319653358">
      <w:bodyDiv w:val="1"/>
      <w:marLeft w:val="0"/>
      <w:marRight w:val="0"/>
      <w:marTop w:val="0"/>
      <w:marBottom w:val="0"/>
      <w:divBdr>
        <w:top w:val="none" w:sz="0" w:space="0" w:color="auto"/>
        <w:left w:val="none" w:sz="0" w:space="0" w:color="auto"/>
        <w:bottom w:val="none" w:sz="0" w:space="0" w:color="auto"/>
        <w:right w:val="none" w:sz="0" w:space="0" w:color="auto"/>
      </w:divBdr>
    </w:div>
    <w:div w:id="1436710273">
      <w:bodyDiv w:val="1"/>
      <w:marLeft w:val="0"/>
      <w:marRight w:val="0"/>
      <w:marTop w:val="0"/>
      <w:marBottom w:val="0"/>
      <w:divBdr>
        <w:top w:val="none" w:sz="0" w:space="0" w:color="auto"/>
        <w:left w:val="none" w:sz="0" w:space="0" w:color="auto"/>
        <w:bottom w:val="none" w:sz="0" w:space="0" w:color="auto"/>
        <w:right w:val="none" w:sz="0" w:space="0" w:color="auto"/>
      </w:divBdr>
    </w:div>
    <w:div w:id="1926112360">
      <w:bodyDiv w:val="1"/>
      <w:marLeft w:val="0"/>
      <w:marRight w:val="0"/>
      <w:marTop w:val="0"/>
      <w:marBottom w:val="0"/>
      <w:divBdr>
        <w:top w:val="none" w:sz="0" w:space="0" w:color="auto"/>
        <w:left w:val="none" w:sz="0" w:space="0" w:color="auto"/>
        <w:bottom w:val="none" w:sz="0" w:space="0" w:color="auto"/>
        <w:right w:val="none" w:sz="0" w:space="0" w:color="auto"/>
      </w:divBdr>
    </w:div>
    <w:div w:id="1950238107">
      <w:bodyDiv w:val="1"/>
      <w:marLeft w:val="0"/>
      <w:marRight w:val="0"/>
      <w:marTop w:val="0"/>
      <w:marBottom w:val="0"/>
      <w:divBdr>
        <w:top w:val="none" w:sz="0" w:space="0" w:color="auto"/>
        <w:left w:val="none" w:sz="0" w:space="0" w:color="auto"/>
        <w:bottom w:val="none" w:sz="0" w:space="0" w:color="auto"/>
        <w:right w:val="none" w:sz="0" w:space="0" w:color="auto"/>
      </w:divBdr>
    </w:div>
    <w:div w:id="201530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D882-1205-4742-A960-4B987E6A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ZiyuTang</dc:creator>
  <cp:keywords/>
  <dc:description/>
  <cp:lastModifiedBy>ZiyuTang</cp:lastModifiedBy>
  <cp:revision>11</cp:revision>
  <dcterms:created xsi:type="dcterms:W3CDTF">2020-04-13T19:51:00Z</dcterms:created>
  <dcterms:modified xsi:type="dcterms:W3CDTF">2020-04-14T02:52:00Z</dcterms:modified>
</cp:coreProperties>
</file>