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无感FOC非线性磁链观测器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非线性磁链观测器可以快速实现正反转切换；可以观测到极低的转速可以不需要强拖启动。但是在零速时带载能力很弱，所以一般情况下还是使用IF开环+速度环闭环控制电机。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非线性磁链观测器的状态变量为磁链值，观测的磁链值收敛于电机实际磁链值，观测器收敛。非线性是由于观测器存在sin和cos项，所以是非线性观测器。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表贴式永磁同步电机alpha-beta轴电压方程如下：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default"/>
          <w:position w:val="-56"/>
          <w:lang w:val="en-US" w:eastAsia="zh-CN"/>
        </w:rPr>
        <w:object>
          <v:shape id="_x0000_i1025" o:spt="75" type="#_x0000_t75" style="height:62pt;width:25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position w:val="0"/>
          <w:lang w:val="en-US" w:eastAsia="zh-CN"/>
        </w:rPr>
      </w:pPr>
      <w:r>
        <w:rPr>
          <w:rFonts w:hint="default"/>
          <w:position w:val="0"/>
          <w:lang w:val="en-US" w:eastAsia="zh-CN"/>
        </w:rPr>
        <w:object>
          <v:shape id="_x0000_i1026" o:spt="75" type="#_x0000_t75" style="height:72pt;width:1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将公式变换：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27" o:spt="75" type="#_x0000_t75" style="height:40pt;width:191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定义状态变量：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74"/>
          <w:lang w:val="en-US" w:eastAsia="zh-CN"/>
        </w:rPr>
        <w:object>
          <v:shape id="_x0000_i1028" o:spt="75" alt="" type="#_x0000_t75" style="height:80pt;width:174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对上述方程积分：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29" o:spt="75" alt="" type="#_x0000_t75" style="height:38pt;width:12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定义空间向量</w:t>
      </w:r>
      <w:r>
        <w:rPr>
          <w:rFonts w:hint="eastAsia"/>
          <w:position w:val="-10"/>
          <w:lang w:val="en-US" w:eastAsia="zh-CN"/>
        </w:rPr>
        <w:object>
          <v:shape id="_x0000_i1030" o:spt="75" type="#_x0000_t75" style="height:16pt;width:33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33" o:spt="75" alt="" type="#_x0000_t75" style="height:38pt;width:22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1" r:id="rId1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非线性磁链观测器模型：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position w:val="-34"/>
          <w:lang w:val="en-US" w:eastAsia="zh-CN"/>
        </w:rPr>
        <w:object>
          <v:shape id="_x0000_i1037" o:spt="75" alt="" type="#_x0000_t75" style="height:40pt;width:193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7" DrawAspect="Content" ObjectID="_1468075732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收敛条件：</w:t>
      </w:r>
      <w:r>
        <w:rPr>
          <w:rFonts w:hint="eastAsia"/>
          <w:position w:val="-14"/>
          <w:lang w:val="en-US" w:eastAsia="zh-CN"/>
        </w:rPr>
        <w:object>
          <v:shape id="_x0000_i1035" o:spt="75" type="#_x0000_t75" style="height:22pt;width:69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5" DrawAspect="Content" ObjectID="_1468075733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模型离散化：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36" o:spt="75" type="#_x0000_t75" style="height:40pt;width:296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6" DrawAspect="Content" ObjectID="_1468075734" r:id="rId2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38" o:spt="75" type="#_x0000_t75" style="height:40pt;width:141pt;" o:ole="t" filled="f" o:preferrelative="t" stroked="f" coordsize="21600,21600"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8" DrawAspect="Content" ObjectID="_1468075735" r:id="rId2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基于反电动势的PLL：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基于反电动势观测器系统观测的是反电动势电压，由于电压经过电感相位相对电流超前90°，故观测得到的角度需要将90°补偿回来：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实际值：</w:t>
      </w:r>
      <w:r>
        <w:rPr>
          <w:rFonts w:hint="eastAsia"/>
          <w:position w:val="-24"/>
          <w:lang w:val="en-US" w:eastAsia="zh-CN"/>
        </w:rPr>
        <w:object>
          <v:shape id="_x0000_i1041" o:spt="75" type="#_x0000_t75" style="height:31pt;width:52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1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40" o:spt="75" alt="" type="#_x0000_t75" style="height:17pt;width:1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40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是观测值。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1803400" cy="1539240"/>
            <wp:effectExtent l="0" t="0" r="10160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44"/>
          <w:lang w:val="en-US" w:eastAsia="zh-CN"/>
        </w:rPr>
        <w:object>
          <v:shape id="_x0000_i1042" o:spt="75" type="#_x0000_t75" style="height:49.95pt;width:341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42" DrawAspect="Content" ObjectID="_1468075738" r:id="rId3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磁链观测器的PLL：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1871980" cy="1643380"/>
            <wp:effectExtent l="0" t="0" r="2540" b="2540"/>
            <wp:docPr id="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46" o:spt="75" alt="" type="#_x0000_t75" style="height:19pt;width:168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6" DrawAspect="Content" ObjectID="_1468075739" r:id="rId3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hanging="420" w:hanging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[1] Sensorless Control of Surface-Mount Permanent-Magnet Synchronous Motors Based on a Nonlinear Observer.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004D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2CD5F7B"/>
    <w:rsid w:val="16C87439"/>
    <w:rsid w:val="2C3C6FB9"/>
    <w:rsid w:val="4D6F24E7"/>
    <w:rsid w:val="4E57026C"/>
    <w:rsid w:val="54F004D0"/>
    <w:rsid w:val="62AC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宋体" w:hAnsi="宋体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png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2024-01-19T06:53:00Z</dcterms:created>
  <dc:creator>WPS_1662774454</dc:creator>
  <cp:lastModifiedBy>WPS_1662774454</cp:lastModifiedBy>
  <dcterms:modified xsi:type="dcterms:W3CDTF">2024-01-19T08:52:39Z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C64A7C2EE4C943A691650ECC64E722C4_11</vt:lpwstr>
  </property>
</Properties>
</file>