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高级定时器TIM工作原理及SVPWM生成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级定时器（TIM1和TIM8）和通用定时器在基本定时器的基础上引入了外部引脚，可以实现输入捕获和输出比较的功能。高级定时器比通用定时器增加了可编程死区互补输出、重复计数器、带刹车（断路，BKIN）功能，这些功能都是针对工业电机控制方面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时基单元及寄存器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高级定时器实际单元如下图所示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0330" cy="145796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8095" r="983" b="2112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定时器实际单元包含一个16位自动重装载寄存器ARR；一个16位的计数器CNT，可向上/向下计数；一个16位的可编程预分频器PSC，有内部、外部时钟可选；还有一个8位的重复计数器RCR（高级TIM独有）。这样最高可实现40位（16+8+16，ARR+RCR+CNT）的可编程定时。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预分频器PSC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预分频器PSC，有一个输入时钟CK_PSC和一个输出时钟CK_CNT就是上面时钟源的输出，输出CK_CNT则用来驱动计数器CNT计数。通过设置预分频器PSC的值可以得到不同的CK_CNT，实际计算为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19pt;width:40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default"/>
          <w:lang w:val="en-US" w:eastAsia="zh-CN"/>
        </w:rPr>
        <w:t>等于</w:t>
      </w:r>
      <w:r>
        <w:rPr>
          <w:rFonts w:hint="eastAsia"/>
          <w:position w:val="-14"/>
          <w:lang w:val="en-US" w:eastAsia="zh-CN"/>
        </w:rPr>
        <w:object>
          <v:shape id="_x0000_i1028" o:spt="75" alt="" type="#_x0000_t75" style="height:19pt;width:3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(PSC[15:0]+1)</w:t>
      </w:r>
      <w:r>
        <w:rPr>
          <w:rFonts w:hint="eastAsia"/>
          <w:lang w:val="en-US" w:eastAsia="zh-CN"/>
        </w:rPr>
        <w:t>，可实现1至65536分频。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计数器CNT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高级定时器的计数器有三种计数模式，分别为递增计数模式、递减计数模式和递增/递减（中心对齐）计数模式。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增计数模式：计数器从0开始计数，每来一个CK_CNT脉冲计数器加1，直至计数器的值与自动重装载寄存器ARR相等，然后计数器又从0开始并生成计数器上溢事件，计数器总是如此循环计数。如果禁用重复计数器（RCR），在计数器生成上溢事件就马上生成更新事件；如果使能重复计数器，每生成一次上溢事件重复计数器数值减1，知道重复计数器值为0，才会生成更新事件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递减计数模式：计数器从自动重装载寄存器ARR值开始计数，每来一个CK_CNT脉冲计数器就减1，直到计数器值为0，然 后计数器又从自动重载寄存器ARR值开始递减计数并生成计数器下溢事件，计数器总是如此循环计数。如果禁用重复计数器， 在计数器生成下溢事件就马上生成更新事件；如果使能重复计数器，每生成一次下溢事件重复计数器内容就减1，直到重复计数器内容为0时才会生成更新事件。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心对齐模式：计数器从0开始递增计数，直到计数值等于（ARR-1）值生成计数器上溢事件（0~ARR-1），然后从ARR值开始递减计数直到1生成计数器下溢事件。然后又从0开始计数，如此循环（ARR~1）。如果禁用重复计数器， 在计数器生成下溢事件就马上生成更新事件；如果使能重复计数器，每生成一次下溢事件重复计数器内容就减1，直到重复计数器内容为0时才会生成更新事件。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自动重装载寄存器ARR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自动重装载寄存器ARR用来存放与计数器CNT比较的值，如果两个值相等就递减重复计数器。可以通过TIMx_CR1寄存器的ARPE位控制自动重载影子寄存器。如果ARPE位置1，自动重载影子寄存器有效，只有在事件更新时间才把TIMx_ARR值赋给影子寄存器。如果ARPE位为0，则修改TIMx_ARR的值后立马有效。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重复计数器RCR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在基本/通用定时器发生上/下溢事件时直接就生成更新事件，但对于高级控制定时器却不是这样，高级控制定时器在硬件结构上多出了重复计数器。在定时器发生上溢或下溢事件时，递减重复计数器的值，只有当重复计数器为0时才会发生更新事件。在发生N+1个上溢或下溢事件（N为RCR的值）时产生更新事件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SVPWM产生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在SVPWM调制中，为保证PWM波的中心和ARR对应的位置对齐，一般使用中心对齐模式。中心对齐模式又分为中心对齐模式1/2/3 三种，具体由寄存器CR1位CMS[1:0]配置。具体的区别就是</w:t>
      </w:r>
      <w:r>
        <w:rPr>
          <w:rFonts w:hint="eastAsia"/>
          <w:b/>
          <w:bCs/>
          <w:lang w:val="en-US" w:eastAsia="zh-CN"/>
        </w:rPr>
        <w:t>比较中断</w:t>
      </w:r>
      <w:r>
        <w:rPr>
          <w:rFonts w:hint="eastAsia"/>
          <w:lang w:val="en-US" w:eastAsia="zh-CN"/>
        </w:rPr>
        <w:t>中断标志位CCxIF在何时置1：中心模式1在CNT递减计数的时候置1，中心对齐模式2在CNT递增计数时置1，中心模式3在CNT递增和递减计数时都置1。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在比较中断发生时，中断服务程序（ISP）将会执行。在ISR中，通常需要清除相应的比较中断标志位（CCxIF），以便下一次比较中断能够正确触发。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5685" cy="1765300"/>
            <wp:effectExtent l="0" t="0" r="635" b="2540"/>
            <wp:docPr id="2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设置PWM通道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由于三相逆变器有三个桥臂，为防止逆变器上下桥臂直通，在生成6路PWM信号时需要注意死区时间。并且应添加断路功能。以ST系列为例，下面给出两种方案。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3095" cy="1691005"/>
            <wp:effectExtent l="0" t="0" r="12065" b="635"/>
            <wp:docPr id="3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方案一：定时器TIM1互补输出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使用TIM1的通道1（PA8）及其互补通道（PB13）作为输出通道，为增加断路功能，需要用到TIM1_BKIN引脚（PB12）。系统复位启动默认关闭断路功能，将断路和死区寄存器TIMx_BDTR的BKE位置1，使能断路功能；通过TIMx_BDTR寄存器的BKP位设置断路输入引脚的有效电平，置1时输入BKP高电平有效，否则低电平有效。当程序上设置断路引脚为高电平有效，当BKIN引脚被置高电平时，两路互补的PWM输出停止，电机停止动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的参考波形OCxREF的基础上，可以插入死区时间，用于生成两路互补的输出信号OCx和OCxN，死区时间的大小具体由BDTR寄存器的位DTG[7:0]配置。死区时间的大小必须根据与输出信号相连接的器件及其特性来调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TIM1其余的两个通道的共四路输出和通道1类似。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方案二：定时器TIM1普通输出（非互补）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MCU的TIM1三个通道1/2/3的主输出输出PWM信号，有电机的驱动芯片（例如STSPIN810）在该三路PWM信号上生成对应的互补PWM输出共六路，三对带死区和断路的互补PWM。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PWM通道模式</w:t>
      </w:r>
      <w:r>
        <w:rPr>
          <w:rFonts w:hint="eastAsia"/>
          <w:lang w:val="en-US" w:eastAsia="zh-CN"/>
        </w:rPr>
        <w:t>：根据需求自行设置，这里设置mode=1，即模式1，向下计数时产生比较中断。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RCR：</w:t>
      </w:r>
      <w:r>
        <w:rPr>
          <w:rFonts w:hint="eastAsia"/>
          <w:lang w:val="en-US" w:eastAsia="zh-CN"/>
        </w:rPr>
        <w:t>在SVPWM调制中，使用中心对齐模式，mode=1，向下计数时产生比较中断。为保证相邻两个更新事件的触发时间和PWM波周期相等，寄存器RCR=1，因此当计数器发生RCR+1=2次溢出动作（一次上溢，一次下溢）后，触发更新事件。此时计数器的计数过程是周期为Ts的三角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817495" cy="892810"/>
            <wp:effectExtent l="0" t="0" r="1905" b="635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77745" cy="1116330"/>
            <wp:effectExtent l="0" t="0" r="8255" b="11430"/>
            <wp:docPr id="5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b="4750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ARR：</w:t>
      </w:r>
      <w:r>
        <w:rPr>
          <w:rFonts w:hint="eastAsia"/>
          <w:b w:val="0"/>
          <w:bCs w:val="0"/>
          <w:lang w:val="en-US" w:eastAsia="zh-CN"/>
        </w:rPr>
        <w:t>在中心对齐模式下，有计算公式：</w:t>
      </w: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66"/>
          <w:lang w:val="en-US" w:eastAsia="zh-CN"/>
        </w:rPr>
        <w:object>
          <v:shape id="_x0000_i1033" o:spt="75" type="#_x0000_t75" style="height:72pt;width:200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式中，Ts是PWM周期，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36" o:spt="75" type="#_x0000_t75" style="height:19pt;width:13.9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6" DrawAspect="Content" ObjectID="_1468075728" r:id="rId1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是分频器输入的内部时钟（单位MHz），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4" o:spt="75" type="#_x0000_t75" style="height:18pt;width:23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是分频后的时钟（MHz），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7" o:spt="75" type="#_x0000_t75" style="height:18pt;width:2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7" DrawAspect="Content" ObjectID="_1468075730" r:id="rId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作为计数器的计数频率。ARR是自动重装载寄存器的值，PSC是分频值。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CCR：</w:t>
      </w:r>
      <w:r>
        <w:rPr>
          <w:rFonts w:hint="eastAsia"/>
          <w:b w:val="0"/>
          <w:bCs w:val="0"/>
          <w:lang w:val="en-US" w:eastAsia="zh-CN"/>
        </w:rPr>
        <w:t>比较寄存器CCR设置由用户根据实际运行情况计算得到。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799840" cy="1476375"/>
            <wp:effectExtent l="0" t="0" r="10160" b="1905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影子寄存器：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ARR：禁止使用预装载寄存器，ARR值更新后得直接加载到影子寄存器（运行的实时性要求）；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CCR：使能预装载寄存器，CCR值更新后存放在预装载寄存器OCR中，在下一个更新事件到来时再将OCR数据加载到影子寄存器（保证周期内PWM波形的对称性和完整性）。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PWM有效极性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设置为PWM1，设置极性为高电平，即高电平有效。向上计数时，TIMx_CNT&lt;TIMx_CCR1时通道1为有效电平，否则为无效电平；向下计数时，TIMx_CNT&gt;TIMx_CCR1时通道1为无效电平，否则为有效电平。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注：PWM电平极性反转由硬件完成。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死区时间：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position w:val="-14"/>
          <w:lang w:val="en-US" w:eastAsia="zh-CN"/>
        </w:rPr>
        <w:object>
          <v:shape id="_x0000_i1041" o:spt="75" type="#_x0000_t75" style="height:19pt;width:9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2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43" o:spt="75" type="#_x0000_t75" style="height:18pt;width:2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3" DrawAspect="Content" ObjectID="_1468075732" r:id="rId2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为死区单位时间，</w:t>
      </w:r>
      <w:r>
        <w:rPr>
          <w:rFonts w:hint="default"/>
          <w:b/>
          <w:bCs/>
          <w:position w:val="-14"/>
          <w:lang w:val="en-US" w:eastAsia="zh-CN"/>
        </w:rPr>
        <w:object>
          <v:shape id="_x0000_i1044" o:spt="75" alt="" type="#_x0000_t75" style="height:19pt;width:3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4" DrawAspect="Content" ObjectID="_1468075733" r:id="rId2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为计数器加1或减1的间隔时间；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556760" cy="1141095"/>
            <wp:effectExtent l="0" t="0" r="0" b="1905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DTG[7:0]：死区时间设置寄存器。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当DTG[7:5]=0xx ，=&gt; DT= DTG[7:0]*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45" o:spt="75" alt="" type="#_x0000_t75" style="height:18pt;width:2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5" DrawAspect="Content" ObjectID="_1468075734" r:id="rId2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；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58" o:spt="75" type="#_x0000_t75" style="height:18pt;width:5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8" DrawAspect="Content" ObjectID="_1468075735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当DTG[7:5]=10x ，=&gt; DT= (64+DTG[5:0])*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51" o:spt="75" type="#_x0000_t75" style="height:18pt;width:2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1" DrawAspect="Content" ObjectID="_1468075736" r:id="rId32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；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55" o:spt="75" alt="" type="#_x0000_t75" style="height:18pt;width:6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5" DrawAspect="Content" ObjectID="_1468075737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当DTG[7:5]=110 ，=&gt; DT= (32+DTG[4:0])*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52" o:spt="75" type="#_x0000_t75" style="height:18pt;width:2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2" DrawAspect="Content" ObjectID="_1468075738" r:id="rId3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；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56" o:spt="75" alt="" type="#_x0000_t75" style="height:18pt;width:60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6" DrawAspect="Content" ObjectID="_1468075739" r:id="rId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当DTG[7:5]=111 ，=&gt; DT= (32+DTG[4:0])*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53" o:spt="75" type="#_x0000_t75" style="height:18pt;width:2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3" DrawAspect="Content" ObjectID="_1468075740" r:id="rId3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；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57" o:spt="75" alt="" type="#_x0000_t75" style="height:18pt;width:6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57" DrawAspect="Content" ObjectID="_1468075741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60" o:spt="75" alt="" type="#_x0000_t75" style="height:18pt;width:2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60" DrawAspect="Content" ObjectID="_1468075742" r:id="rId4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=125 ns（8Mhz），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 to 15875 ns by 125 ns steps;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16 us to 31750 ns by 250 ns steps;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32 us to 63 us by 1 us steps;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64 us to 126 us by 2us steps;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逆变器上桥臂PWM：先高电平，后低电平，再高电平；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逆变器下桥臂PWM：先低电平，后高电平，再低电平；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926965" cy="1597025"/>
            <wp:effectExtent l="0" t="0" r="10795" b="3175"/>
            <wp:docPr id="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ADC采样通道：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三电阻采样或者两电阻采样，采样点在PWM波的中心位置。TIM1通道4设置为mode2，向上计数比较器中断，设置为ADC采样通道，将该通道的CCR值设置为（ARR-1）。因为ARR-1处对应三角波的中心，也是通道1/2/3生成的PWM波的中心。计数器计数到CNT=ARR-1时，通道4产生高电平，触发ADC采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定时器触发ADC采样，是属于外部触发转换的一种方式。当外部触发信号被选为ADC规则或注入转换时，只有它的</w:t>
      </w:r>
      <w:r>
        <w:rPr>
          <w:rFonts w:hint="eastAsia"/>
          <w:b/>
          <w:bCs/>
          <w:lang w:val="en-US" w:eastAsia="zh-CN"/>
        </w:rPr>
        <w:t>上升沿可</w:t>
      </w:r>
      <w:r>
        <w:rPr>
          <w:rFonts w:hint="eastAsia"/>
          <w:b w:val="0"/>
          <w:bCs w:val="0"/>
          <w:lang w:val="en-US" w:eastAsia="zh-CN"/>
        </w:rPr>
        <w:t>以启动转换。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ECD461"/>
    <w:multiLevelType w:val="singleLevel"/>
    <w:tmpl w:val="C0ECD46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CCDD92"/>
    <w:multiLevelType w:val="singleLevel"/>
    <w:tmpl w:val="EECCDD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D7344F0"/>
    <w:multiLevelType w:val="multilevel"/>
    <w:tmpl w:val="1D7344F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7118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6C87439"/>
    <w:rsid w:val="1FE44552"/>
    <w:rsid w:val="2C3C6FB9"/>
    <w:rsid w:val="3CC7118E"/>
    <w:rsid w:val="3DA478A2"/>
    <w:rsid w:val="476050C3"/>
    <w:rsid w:val="4D6F24E7"/>
    <w:rsid w:val="4E57026C"/>
    <w:rsid w:val="62AC5659"/>
    <w:rsid w:val="7EC7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22.png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oleObject" Target="embeddings/oleObject12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png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2024-01-10T07:57:00Z</dcterms:created>
  <dc:creator>WPS_1662774454</dc:creator>
  <cp:lastModifiedBy>WPS_1662774454</cp:lastModifiedBy>
  <dcterms:modified xsi:type="dcterms:W3CDTF">2024-01-11T12:15:53Z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50B34CB961874386BA8D9FCFB1F79D95_11</vt:lpwstr>
  </property>
</Properties>
</file>