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JTitle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后稷农事服务AI综合平台</w:t>
      </w:r>
    </w:p>
    <w:p>
      <w:pPr>
        <w:pStyle w:val="HJSubtitle"/>
        <w:jc w:val="center"/>
      </w:pPr>
      <w:r>
        <w:rPr>
          <w:rFonts w:ascii="Noto Sans CJK SC" w:hAnsi="Noto Sans CJK SC" w:eastAsia="Noto Sans CJK SC"/>
          <w:color w:val="4F6475"/>
          <w:sz w:val="25"/>
        </w:rPr>
        <w:t>开发启动包与 AI 服务分期方案</w:t>
      </w:r>
    </w:p>
    <w:p>
      <w:pPr>
        <w:spacing w:before="0" w:after="40" w:line="31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文档定位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374151"/>
                <w:sz w:val="20"/>
              </w:rPr>
              <w:t>把总体方案继续压缩成“可以直接开工”的首轮执行包。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适用对象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374151"/>
                <w:sz w:val="20"/>
              </w:rPr>
              <w:t>项目经理、产品经理、架构师、Codex 协作代理、Lovable 设计/原型代理、前后端开发与实施负责人。</w:t>
            </w:r>
          </w:p>
        </w:tc>
      </w:tr>
      <w:tr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本次新增重点</w:t>
            </w:r>
          </w:p>
        </w:tc>
        <w:tc>
          <w:tcPr>
            <w:tcW w:type="dxa" w:w="61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7FAFC"/>
          </w:tcPr>
          <w:p>
            <w:pPr>
              <w:spacing w:line="300" w:lineRule="auto" w:after="0"/>
            </w:pPr>
            <w:r>
              <w:rPr>
                <w:rFonts w:ascii="Noto Sans CJK SC" w:hAnsi="Noto Sans CJK SC" w:eastAsia="Noto Sans CJK SC"/>
                <w:color w:val="374151"/>
                <w:sz w:val="20"/>
              </w:rPr>
              <w:t>把农户 AI 交流服务一并纳入，覆盖 App、微信、飞书三个入口，并明确最合适的分阶段建设顺序。</w:t>
            </w:r>
          </w:p>
        </w:tc>
      </w:tr>
    </w:tbl>
    <w:p>
      <w:pPr>
        <w:spacing w:before="0" w:after="120" w:line="312" w:lineRule="auto"/>
      </w:pPr>
    </w:p>
    <w:p>
      <w:pPr>
        <w:pStyle w:val="HJSmall"/>
        <w:jc w:val="center"/>
      </w:pPr>
      <w:r>
        <w:rPr>
          <w:rFonts w:ascii="Noto Sans CJK SC" w:hAnsi="Noto Sans CJK SC" w:eastAsia="Noto Sans CJK SC"/>
          <w:color w:val="6B7280"/>
          <w:sz w:val="18"/>
        </w:rPr>
        <w:t>版本：V1 启动版   ｜   日期：2026-03-21   ｜   建议名称简称：后稷平台 / 后稷农服AI</w:t>
      </w:r>
    </w:p>
    <w:p>
      <w:r>
        <w:br w:type="page"/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一、执行结论（先给拍板结论）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平台名称可以正式使用“后稷农事服务AI综合平台”。对外文件、汇报材料、合同附件、产品封面可使用全称；系统标题、导航栏、移动端图标可使用简称“后稷平台”。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当前系统不应继续按“机井 + 阀门固定链路”理解，而应升级为“农业设备编排与运营平台”。这样才能同时承接水源泵、水肥机、电磁阀、气象设备和农机装备。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分阶段开发是可行的，但前提是现在就把模型做泛化：设备家族、设备能力、拓扑关系、编排执行、事件闭环、三端统一。这些口必须在第一阶段预留。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农户 AI 交流服务建议纳入总体架构，但不要抢占 Phase 1 的主闭环资源。最优顺序是：Phase 1 预留 AI 会话中台与接口；Phase 2 先做 App 内 AI 对话；Phase 3 再接微信与飞书；Phase 4 再做主动提醒与更强的农事建议。</w:t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二、平台重新定义与边界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2.1 平台重新定义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sz w:val="21"/>
        </w:rPr>
        <w:t>后稷农事服务AI综合平台，是一套面向农业灌溉、水肥一体化、气象感知、农机作业协同和农事服务对话的设备运营 SaaS 平台。平台既支持设备单独使用，也支持按顺序或按条件进行组合编排，并通过 PC 管理后台、运维移动端、农户端和 AI 服务入口形成统一业务闭环。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2.2 本阶段边界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19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阶段</w:t>
            </w:r>
          </w:p>
        </w:tc>
        <w:tc>
          <w:tcPr>
            <w:tcW w:type="dxa" w:w="2665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建设重点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AI 服务范围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本阶段结论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1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灌溉最小闭环：区域、设备、机井/泵/阀、计费、会话、订单、告警、工单、UAT、运维移动端基础页、农户扫码用水。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只预留 AI 会话中台、知识库对象、转人工入口与多渠道接口定义，不做对外正式运营。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必须先跑通“能配置、能使用、能记账、能报错、能派工、能验收”。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2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新增水肥机、水肥任务、顺序编排、移动端巡检与现场处理增强。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上线 App 内 AI 对话 1.0，回答设备使用、订单问题、简单农事咨询。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AI 先在自有 App 内收敛验证，避免过早扩渠道。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3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新增气象设备、区域策略联动、地图协同、基础结算。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扩到微信与飞书对话，同步统一会话中台与知识库。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对外入口多了，但底层仍是一套会话中台。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4+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农机装备、综合作业任务、主动提醒、预测与推荐。</w:t>
            </w:r>
          </w:p>
        </w:tc>
        <w:tc>
          <w:tcPr>
            <w:tcW w:type="dxa" w:w="22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更强的农事建议、主动消息和跨渠道连续会话。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在主链稳定后再做智能化放大。</w:t>
            </w:r>
          </w:p>
        </w:tc>
      </w:tr>
    </w:tbl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三、统一设备家族与关系模型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3.1 设备家族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水源与动力设备：机井、水源泵、泵站、变频柜、启动柜。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水肥与处理设备：水肥机、施肥罐、加药装置、过滤控制单元。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末端控制设备：电磁阀、电动阀、分区控制器、出水口控制终端。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感知监测设备：水位计、压力传感器、流量计、电表/功率计、土壤墒情、温湿度、气象站。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通讯与边缘设备：网关、DTU、边缘控制器、协议转换模块。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农机与作业设备：拖拉机、喷灌机、植保设备、无人农机终端、作业采集终端。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3.2 设备能力抽象（以后新增设备时只扩能力，不重写主系统）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控制能力：启动、停止、开阀、关阀、设定模式、下发任务。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感知能力：功率、电流、流量、压力、水位、温湿度、风速、定位、轨迹、状态回执。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任务能力：执行灌溉任务、执行水肥任务、执行巡检任务、执行作业任务。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告警能力：离线、启动失败、停机失败、阈值超限、耗材异常、通讯异常。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3.3 统一关系模型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关系类型</w:t>
            </w:r>
          </w:p>
        </w:tc>
        <w:tc>
          <w:tcPr>
            <w:tcW w:type="dxa" w:w="238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说明</w:t>
            </w:r>
          </w:p>
        </w:tc>
        <w:tc>
          <w:tcPr>
            <w:tcW w:type="dxa" w:w="396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示例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归属关系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谁属于谁</w:t>
            </w:r>
          </w:p>
        </w:tc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设备属于区域；阀属于某井；农机属于某项目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供给关系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谁给谁提供资源</w:t>
            </w:r>
          </w:p>
        </w:tc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泵为阀供水；水肥机为某灌溉链提供肥液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控制关系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谁控制谁</w:t>
            </w:r>
          </w:p>
        </w:tc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控制器控制泵；网关代理多个终端</w:t>
            </w:r>
          </w:p>
        </w:tc>
      </w:tr>
      <w:tr>
        <w:tc>
          <w:tcPr>
            <w:tcW w:type="dxa" w:w="170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编排关系</w:t>
            </w:r>
          </w:p>
        </w:tc>
        <w:tc>
          <w:tcPr>
            <w:tcW w:type="dxa" w:w="238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谁先后/并行/互斥</w:t>
            </w:r>
          </w:p>
        </w:tc>
        <w:tc>
          <w:tcPr>
            <w:tcW w:type="dxa" w:w="396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泵先于水肥机启动；最后一个阀结束后进入停机保护链</w:t>
            </w:r>
          </w:p>
        </w:tc>
      </w:tr>
    </w:tbl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四、三端与 AI 入口的总体设计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4.1 管理后台 /ops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面向项目经理、财务、调度人员、平台管理员。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承担对象配置、规则配置、任务运行、事件查看、工单闭环、UAT 验收。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原则：后端输出运行与计费决策，前端只负责展示状态、阻断原因与可执行动作。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4.2 运维移动端 /m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面向设备管理员、巡检人员、施工与售后人员。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必须围绕现场任务设计，不是把 PC 后台缩小。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V1 重点：我的待办、我的工单、我的设备、现场处理。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4.3 农户端 /u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面向农户、合作社成员、临时用水用户。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V1 重点：扫码、当前会话、结束、历史订单、帮助入口。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农户不应承担复杂配置理解，默认以“任务式用水”和“简单问题答复”为主。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4.4 农户 AI 交流服务（新增）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统一会话中台：无论来自 App、微信还是飞书，都落入同一套会话、知识、用户标识和转人工链路。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统一身份映射：支持农户账号、手机号、微信 openid / unionid、飞书 user_id 与平台用户的映射。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统一能力边界：先回答“怎么用、为什么不能用、订单怎么看、设备状态怎么看、简单农事建议、报修怎么提”，不在早期让 AI 直接代替关键控制决策。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统一转人工：当问题涉及支付争议、设备异常、连续启动失败、现场安全风险、复杂农事判断时，AI 必须能够转到工单或人工客服。</w:t>
      </w:r>
    </w:p>
    <w:p>
      <w:r>
        <w:br w:type="page"/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五、农户 AI 交流服务的分期方案（App / 微信 / 飞书）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5.1 为什么不建议一开始三端一起上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主系统 V1 的首要目标是灌溉闭环稳定，而不是渠道铺开。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AI 对话一旦多渠道同时上线，会同步引入身份映射、知识一致性、渠道消息回调、敏感问题分流、转人工与工单协同等复杂度。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因此最稳妥的顺序是先打通自有 App，再扩微信与飞书。这样既能验证能力，也能让底层会话中台先成熟。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5.2 AI 服务的阶段决策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119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阶段</w:t>
            </w:r>
          </w:p>
        </w:tc>
        <w:tc>
          <w:tcPr>
            <w:tcW w:type="dxa" w:w="1757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渠道</w:t>
            </w:r>
          </w:p>
        </w:tc>
        <w:tc>
          <w:tcPr>
            <w:tcW w:type="dxa" w:w="306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能力范围</w:t>
            </w:r>
          </w:p>
        </w:tc>
        <w:tc>
          <w:tcPr>
            <w:tcW w:type="dxa" w:w="266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不做什么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1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无正式前台入口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预留 ai_conversation、ai_message、ai_session_binding、knowledge_item、handoff_ticket 等对象；预留渠道适配器接口。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不做正式农户聊天入口，不做主动消息。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2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App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设备使用说明、扫码失败原因解释、订单查询说明、简单报修引导、常见农事问答、转人工/转工单。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不做复杂施肥处方、不直接触发高风险控制命令。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3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微信 + 飞书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复用统一会话中台；支持跨渠道连续会话、工单跟踪、通知回执。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不做多个渠道各自独立知识库。</w:t>
            </w:r>
          </w:p>
        </w:tc>
      </w:tr>
      <w:tr>
        <w:tc>
          <w:tcPr>
            <w:tcW w:type="dxa" w:w="119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Phase 4</w:t>
            </w:r>
          </w:p>
        </w:tc>
        <w:tc>
          <w:tcPr>
            <w:tcW w:type="dxa" w:w="1757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App + 微信 + 飞书</w:t>
            </w:r>
          </w:p>
        </w:tc>
        <w:tc>
          <w:tcPr>
            <w:tcW w:type="dxa" w:w="3061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主动提醒、天气/设备联动建议、个性化种植服务。</w:t>
            </w:r>
          </w:p>
        </w:tc>
        <w:tc>
          <w:tcPr>
            <w:tcW w:type="dxa" w:w="266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不在数据不够时做过度自动化决策。</w:t>
            </w:r>
          </w:p>
        </w:tc>
      </w:tr>
    </w:tbl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5.3 AI 服务的标准意图范围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使用指导：如何扫码、如何启动、为什么无法启动、如何结束会话、如何查看历史。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订单咨询：订单金额、时长、历史记录、充值去向、免费模式说明。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设备与异常解释：设备离线是什么意思、阀门未响应怎么办、为何创建工单。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农事问答：基础灌溉建议、天气与用水提醒、常见作物阶段建议（以“建议”而非强制决策呈现）。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人工协同：转工单、转客服、转项目方、记录问题上下文。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5.4 AI 服务必须受控的边界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AI 不能单独替代安全链判断，尤其不能绕过后端规则直接控制泵、水肥机或阀门。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涉及支付争议、设备安全、连续失败、农事高风险建议时，必须优先转人工或要求二次确认。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多渠道入口必须共用一套知识库和一套问题分流口径，避免“App 说法”和“微信说法”不一致。</w:t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六、V1 到 Phase 3 的建设路径（详细到能排期）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6.1 Phase 1：灌溉最小闭环（建议 10～12 周）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基础治理：用户、角色、权限、数据范围。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对象层：区域、设备类型、设备台账、机井/泵/阀。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规则层：计费包、井级策略、泵阀关系、基础告警规则。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执行层：扫码识别、启动校验、会话创建、命令投递、停机保护链。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5. 事件层：订单、告警、工单、命令日志。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6. 终端层：/ops 后台、/m 基础工单与设备页、/u 基础扫码用水页。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7. AI 预留：AI 会话中台数据表、统一知识对象、转人工与工单接口。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6.2 Phase 2：水肥一体化与 App 内 AI 1.0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新增水肥机、水肥任务、泵肥关系和顺序编排。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新增移动端巡检、现场拍照、定位、维修闭环。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新增 App 内 AI 入口：常见问答、使用指导、异常解释、转工单。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新增财务基础结算与部分报表。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6.3 Phase 3：气象、区域策略与多渠道 AI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新增气象设备、土壤/墒情接入、区域策略与条件触发。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增加地图协同与区域范围编辑。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AI 扩到微信与飞书，统一身份映射、消息回调与连续会话。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将天气/气象信息作为 AI 建议的参考输入，但仍保留人工与规则双重兜底。</w:t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七、首轮研发必须冻结的对象与状态机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7.1 必须冻结的核心对象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区域 region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设备类型 device_type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设备实例 device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机井 well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泵 pump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阀 valve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计费包 billing_package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井级策略 well_runtime_policy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泵阀关系 pump_valve_relation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运行会话 runtime_session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订单 irrigation_order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告警 alert_event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工单 work_order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UAT 记录 uat_case / uat_result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AI 会话 ai_conversation / ai_message / ai_handoff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7.2 必须冻结的状态机（建议由 Codex 先出状态图）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设备状态机：未激活 / 在线空闲 / 在线运行 / 在线告警 / 离线 / 停用。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会话状态机：待校验 / 待启动 / 启动中 / 运行中 / 达到计费阈值 / 停止中 / 已结束 / 异常结束。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订单状态机：已创建 / 计费中 / 已结束待结算 / 已结算 / 异常待复核 / 已关闭。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工单状态机：待受理 / 已派单 / 已接单 / 处理中 / 待复核 / 已完成 / 已关闭。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UAT 状态机：待执行 / 进行中 / 已通过 / 有阻塞 / 待复验 / 已关闭。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AI 会话状态机：已创建 / 对话中 / 待转人工 / 已转人工 / 已关闭。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7.3 规则优先级（必须写死）</w:t>
      </w:r>
    </w:p>
    <w:p>
      <w:pPr>
        <w:spacing w:before="0" w:after="80" w:line="312" w:lineRule="auto"/>
      </w:pPr>
      <w:r>
        <w:rPr>
          <w:rFonts w:ascii="Noto Sans CJK SC" w:hAnsi="Noto Sans CJK SC" w:eastAsia="Noto Sans CJK SC"/>
          <w:sz w:val="21"/>
        </w:rPr>
        <w:t>统一规则优先级建议为：井级策略 &gt; 泵阀/泵肥关系 &gt; 交互策略 &gt; 场景模板 &gt; 设备类型默认值。设备类型负责默认值，模板负责推荐值，井级策略负责最终落地。</w:t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八、Codex 与 Lovable 的首轮分工（直接按这个开干）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8.1 Codex 先做什么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输出 V1 核心对象模型、关系模型、状态机文档。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输出 API 草案：对象、规则、执行、事件、AI 预留接口。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输出数据表草案：包括 AI 会话中台的基础表。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搭后端骨架：权限、区域、设备、规则配置、会话、订单、告警、工单。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5. 明确错误码、阻断原因、前后端边界。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8.2 Lovable 先做什么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只做 /ops、/m、/u 三端 UI 壳子与页面框架。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只做统一菜单、页面布局、表格、详情、表单、移动端任务页。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先全部使用 mock 数据，不碰复杂运行决策。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把 AI 服务入口按钮、会话页壳子、转人工页壳子预留出来，不先做复杂会话逻辑。</w:t>
      </w:r>
    </w:p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8.3 直接可复制的启动提示：给 Codex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5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Liberation Mono" w:hAnsi="Liberation Mono" w:eastAsia="Noto Sans CJK SC"/>
                <w:color w:val="1F2937"/>
                <w:sz w:val="18"/>
              </w:rPr>
              <w:t>请基于《后稷农事服务AI综合平台》当前方案，先不要直接写完整前端页面，先输出研发基线，范围仅限 Phase 1：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角色与权限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区域管理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设备类型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设备台账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机井 / 泵 / 阀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计费包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井级策略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泵阀关系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扫码用水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会话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订单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告警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工单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UAT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AI 会话中台预留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请输出：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1. 核心对象模型文档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2. 状态机文档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3. API 草案文档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4. 数据表结构草案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5. 模块目录结构建议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要求：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规则优先级固定为：井级策略 &gt; 关系配置 &gt; 交互策略 &gt; 模板 &gt; 设备类型默认值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所有运行和计费判断统一由后端输出决策结果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AI 服务仅预留会话中台，不在 Phase 1 直接实现多渠道正式运营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输出要可开发，不要泛泛总结</w:t>
              <w:br/>
            </w:r>
          </w:p>
        </w:tc>
      </w:tr>
    </w:tbl>
    <w:p>
      <w:pPr>
        <w:pStyle w:val="HJH2"/>
      </w:pPr>
      <w:r>
        <w:rPr>
          <w:rFonts w:ascii="Noto Sans CJK SC" w:hAnsi="Noto Sans CJK SC" w:eastAsia="Noto Sans CJK SC"/>
          <w:b/>
          <w:color w:val="24435C"/>
          <w:sz w:val="25"/>
        </w:rPr>
        <w:t>8.4 直接可复制的启动提示：给 Lovable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850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line="276" w:lineRule="auto"/>
            </w:pPr>
            <w:r>
              <w:rPr>
                <w:rFonts w:ascii="Liberation Mono" w:hAnsi="Liberation Mono" w:eastAsia="Noto Sans CJK SC"/>
                <w:color w:val="1F2937"/>
                <w:sz w:val="18"/>
              </w:rPr>
              <w:t>我要做一套农业灌溉与农事服务设备运营 SaaS 的 Phase 1 原型，只做 Phase 1，不要扩展到 3D、视频、复杂智能水网。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请生成三端原型：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1. /ops 管理后台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2. /m 运维移动端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3. /u 农户端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Phase 1 页面范围：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驾驶舱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区域管理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设备类型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设备台账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机井管理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计费包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井级策略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泵阀关系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订单列表/详情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告警列表/详情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工单列表/详情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UAT 验收台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用户/角色/权限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/m 我的待办、我的工单、我的设备、现场处理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/u 扫码、当前会话、结束、历史、帮助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预留 AI 入口与 AI 会话页壳子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要求：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专业、克制、偏工业运营风格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统一列表页、详情页、表单页、移动任务页规范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先用 mock 数据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不要自动扩出多余一级菜单</w:t>
              <w:br/>
            </w:r>
            <w:r>
              <w:rPr>
                <w:rFonts w:ascii="Liberation Mono" w:hAnsi="Liberation Mono" w:eastAsia="Noto Sans CJK SC"/>
                <w:color w:val="1F2937"/>
                <w:sz w:val="18"/>
              </w:rPr>
              <w:t>- 不要自行实现复杂规则引擎与多渠道 AI 逻辑</w:t>
              <w:br/>
            </w:r>
          </w:p>
        </w:tc>
      </w:tr>
    </w:tbl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九、首轮 12 周实施节奏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361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时间</w:t>
            </w:r>
          </w:p>
        </w:tc>
        <w:tc>
          <w:tcPr>
            <w:tcW w:type="dxa" w:w="2835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重点目标</w:t>
            </w:r>
          </w:p>
        </w:tc>
        <w:tc>
          <w:tcPr>
            <w:tcW w:type="dxa" w:w="430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F2937"/>
                <w:sz w:val="20"/>
              </w:rPr>
              <w:t>主要交付物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第1-2周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冻结 V1 范围与研发基线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对象模型、状态机、API 草案、表结构草案、页面清单、三端菜单。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第3-4周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生成三端原型与后端骨架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/ops、/m、/u 原型；权限、区域、设备、规则配置后端骨架。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第5-6周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打通主链前半段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扫码识别、启动校验、会话创建、命令投递、设备状态回显。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第7-8周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打通主链后半段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订单、告警、工单、停机保护链、命令日志。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第9-10周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首轮联调与移动端闭环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/m 工单处理、/u 扫码用水、UAT 验收台。</w:t>
            </w:r>
          </w:p>
        </w:tc>
      </w:tr>
      <w:tr>
        <w:tc>
          <w:tcPr>
            <w:tcW w:type="dxa" w:w="1361"/>
            <w:tcMar>
              <w:top w:w="100" w:type="dxa"/>
              <w:start w:w="110" w:type="dxa"/>
              <w:bottom w:w="100" w:type="dxa"/>
              <w:end w:w="110" w:type="dxa"/>
            </w:tcMar>
            <w:shd w:fill="EEF5FB"/>
          </w:tcPr>
          <w:p>
            <w:pPr>
              <w:spacing w:line="288" w:lineRule="auto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374151"/>
                <w:sz w:val="19"/>
              </w:rPr>
              <w:t>第11-12周</w:t>
            </w:r>
          </w:p>
        </w:tc>
        <w:tc>
          <w:tcPr>
            <w:tcW w:type="dxa" w:w="2835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角色验收与 Phase 2 准备</w:t>
            </w:r>
          </w:p>
        </w:tc>
        <w:tc>
          <w:tcPr>
            <w:tcW w:type="dxa" w:w="4309"/>
            <w:tcMar>
              <w:top w:w="100" w:type="dxa"/>
              <w:start w:w="110" w:type="dxa"/>
              <w:bottom w:w="100" w:type="dxa"/>
              <w:end w:w="110" w:type="dxa"/>
            </w:tcMar>
            <w:shd w:fill="F9FBFD"/>
          </w:tcPr>
          <w:p>
            <w:pPr>
              <w:spacing w:line="288" w:lineRule="auto" w:after="0"/>
            </w:pPr>
            <w:r>
              <w:rPr>
                <w:rFonts w:ascii="Noto Sans CJK SC" w:hAnsi="Noto Sans CJK SC" w:eastAsia="Noto Sans CJK SC"/>
                <w:b w:val="0"/>
                <w:color w:val="374151"/>
                <w:sz w:val="19"/>
              </w:rPr>
              <w:t>项目经理/财务/设备管理员/农户 UAT；水肥机与 App 内 AI 的 Phase 2 设计冻结。</w:t>
            </w:r>
          </w:p>
        </w:tc>
      </w:tr>
    </w:tbl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十、第一轮 UAT 要求（必须落到角色）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项目经理：能完成区域、设备、计费、井级策略、泵阀关系配置，并能组织一条完整试运行链路。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财务：能核对订单金额、免费模式订单、计费规则作用范围和异常订单。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设备管理员：能接收异常、查看上下文、处理工单并回到复验。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农户：能扫码、启动、查看会话、结束、查看历史，并能通过帮助入口提出问题。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• AI 预留验收：虽然 Phase 1 不正式运营 AI，但必须确认会话中台对象、帮助入口、转人工接口已预留。</w:t>
      </w:r>
    </w:p>
    <w:p>
      <w:pPr>
        <w:pStyle w:val="HJH1"/>
      </w:pPr>
      <w:r>
        <w:rPr>
          <w:rFonts w:ascii="Noto Sans CJK SC" w:hAnsi="Noto Sans CJK SC" w:eastAsia="Noto Sans CJK SC"/>
          <w:b/>
          <w:color w:val="1F4E79"/>
          <w:sz w:val="30"/>
        </w:rPr>
        <w:t>十一、马上开始时的检查清单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1. 冻结一级菜单，不再任意新增“中心”。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2. 冻结 Phase 1 对象与状态机，避免字段和状态名来回改。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3. 先让 Codex 出研发基线，再让 Lovable 出三端壳子。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4. AI 服务先只预留底层能力，不抢 Phase 1 开发资源。</w:t>
      </w:r>
    </w:p>
    <w:p>
      <w:pPr>
        <w:spacing w:after="40" w:line="307" w:lineRule="auto"/>
        <w:ind w:left="283" w:hanging="227"/>
      </w:pPr>
      <w:r>
        <w:rPr>
          <w:rFonts w:ascii="Noto Sans CJK SC" w:hAnsi="Noto Sans CJK SC" w:eastAsia="Noto Sans CJK SC"/>
          <w:color w:val="1F2937"/>
          <w:sz w:val="21"/>
        </w:rPr>
        <w:t>5. 每完成一个模块，都写对应的 UAT 场景与验收脚本。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A8794"/>
        <w:sz w:val="18"/>
      </w:rPr>
      <w:t>内部执行稿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A8794"/>
        <w:sz w:val="18"/>
      </w:rPr>
      <w:t>后稷农事服务AI综合平台｜开发启动包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JTitle">
    <w:name w:val="HJ Title"/>
    <w:basedOn w:val="Normal"/>
    <w:pPr>
      <w:spacing w:before="0" w:after="200" w:line="300" w:lineRule="auto"/>
    </w:pPr>
    <w:rPr>
      <w:rFonts w:ascii="Noto Sans CJK SC" w:hAnsi="Noto Sans CJK SC" w:eastAsia="Noto Sans CJK SC"/>
      <w:b/>
      <w:color w:val="1F4E79"/>
      <w:sz w:val="44"/>
    </w:rPr>
  </w:style>
  <w:style w:type="paragraph" w:customStyle="1" w:styleId="HJSubtitle">
    <w:name w:val="HJ Subtitle"/>
    <w:basedOn w:val="Normal"/>
    <w:pPr>
      <w:spacing w:before="0" w:after="320" w:line="300" w:lineRule="auto"/>
    </w:pPr>
    <w:rPr>
      <w:rFonts w:ascii="Noto Sans CJK SC" w:hAnsi="Noto Sans CJK SC" w:eastAsia="Noto Sans CJK SC"/>
      <w:b w:val="0"/>
      <w:color w:val="4F6475"/>
      <w:sz w:val="23"/>
    </w:rPr>
  </w:style>
  <w:style w:type="paragraph" w:customStyle="1" w:styleId="HJH1">
    <w:name w:val="HJ H1"/>
    <w:basedOn w:val="Normal"/>
    <w:pPr>
      <w:spacing w:before="240" w:after="120" w:line="300" w:lineRule="auto"/>
    </w:pPr>
    <w:rPr>
      <w:rFonts w:ascii="Noto Sans CJK SC" w:hAnsi="Noto Sans CJK SC" w:eastAsia="Noto Sans CJK SC"/>
      <w:b/>
      <w:color w:val="1F4E79"/>
      <w:sz w:val="30"/>
    </w:rPr>
  </w:style>
  <w:style w:type="paragraph" w:customStyle="1" w:styleId="HJH2">
    <w:name w:val="HJ H2"/>
    <w:basedOn w:val="Normal"/>
    <w:pPr>
      <w:spacing w:before="200" w:after="80" w:line="300" w:lineRule="auto"/>
    </w:pPr>
    <w:rPr>
      <w:rFonts w:ascii="Noto Sans CJK SC" w:hAnsi="Noto Sans CJK SC" w:eastAsia="Noto Sans CJK SC"/>
      <w:b/>
      <w:color w:val="24435C"/>
      <w:sz w:val="25"/>
    </w:rPr>
  </w:style>
  <w:style w:type="paragraph" w:customStyle="1" w:styleId="HJH3">
    <w:name w:val="HJ H3"/>
    <w:basedOn w:val="Normal"/>
    <w:pPr>
      <w:spacing w:before="160" w:after="60" w:line="300" w:lineRule="auto"/>
    </w:pPr>
    <w:rPr>
      <w:rFonts w:ascii="Noto Sans CJK SC" w:hAnsi="Noto Sans CJK SC" w:eastAsia="Noto Sans CJK SC"/>
      <w:b/>
      <w:color w:val="2E4052"/>
      <w:sz w:val="22"/>
    </w:rPr>
  </w:style>
  <w:style w:type="paragraph" w:customStyle="1" w:styleId="HJSmall">
    <w:name w:val="HJ Small"/>
    <w:basedOn w:val="Normal"/>
    <w:pPr>
      <w:spacing w:before="0" w:after="0" w:line="300" w:lineRule="auto"/>
    </w:pPr>
    <w:rPr>
      <w:rFonts w:ascii="Noto Sans CJK SC" w:hAnsi="Noto Sans CJK SC" w:eastAsia="Noto Sans CJK SC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