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2D6A4F"/>
          <w:sz w:val="48"/>
        </w:rPr>
        <w:t>后稷农事服务AI综合平台</w:t>
      </w:r>
    </w:p>
    <w:p>
      <w:pPr>
        <w:spacing w:before="0" w:after="160" w:line="240" w:lineRule="auto"/>
      </w:pPr>
      <w:r>
        <w:rPr>
          <w:rFonts w:ascii="Noto Sans CJK SC" w:hAnsi="Noto Sans CJK SC" w:eastAsia="Noto Sans CJK SC"/>
          <w:b/>
          <w:i w:val="0"/>
          <w:color w:val="252B34"/>
          <w:sz w:val="36"/>
        </w:rPr>
        <w:t>深度版总体方案与落地实施手册</w:t>
      </w:r>
    </w:p>
    <w:p>
      <w:pPr>
        <w:spacing w:before="0" w:after="240" w:line="300" w:lineRule="auto"/>
      </w:pPr>
      <w:r>
        <w:rPr>
          <w:rFonts w:ascii="Noto Sans CJK SC" w:hAnsi="Noto Sans CJK SC" w:eastAsia="Noto Sans CJK SC"/>
          <w:b w:val="0"/>
          <w:i w:val="0"/>
          <w:color w:val="5A626C"/>
          <w:sz w:val="23"/>
        </w:rPr>
        <w:t>覆盖平台定位、对象模型、设备编排、移动端、农户AI交流服务、分阶段建设、研发边界与执行路径。</w:t>
      </w:r>
    </w:p>
    <w:p>
      <w:pPr>
        <w:spacing w:after="80"/>
        <w:pBdr>
          <w:bottom w:val="single" w:sz="6" w:space="1" w:color="D4DADF"/>
        </w:pBdr>
      </w:pPr>
      <w: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814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9"/>
              </w:rPr>
              <w:t>项目</w:t>
            </w:r>
          </w:p>
        </w:tc>
        <w:tc>
          <w:tcPr>
            <w:tcW w:type="dxa" w:w="7313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文档状态</w:t>
            </w:r>
          </w:p>
        </w:tc>
        <w:tc>
          <w:tcPr>
            <w:tcW w:type="dxa" w:w="7313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当前建议版 / 可作为下一轮架构冻结基线</w:t>
            </w:r>
          </w:p>
        </w:tc>
      </w:tr>
      <w:tr>
        <w:tc>
          <w:tcPr>
            <w:tcW w:type="dxa" w:w="181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适用对象</w:t>
            </w:r>
          </w:p>
        </w:tc>
        <w:tc>
          <w:tcPr>
            <w:tcW w:type="dxa" w:w="7313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项目负责人、产品经理、UI 设计、前后端研发、实施负责人、AI 协作代理</w:t>
            </w:r>
          </w:p>
        </w:tc>
      </w:tr>
      <w:tr>
        <w:tc>
          <w:tcPr>
            <w:tcW w:type="dxa" w:w="181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平台定位</w:t>
            </w:r>
          </w:p>
        </w:tc>
        <w:tc>
          <w:tcPr>
            <w:tcW w:type="dxa" w:w="7313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面向农业灌溉、水肥、气象感知、农机协同与服务闭环的设备运营与农事服务平台</w:t>
            </w:r>
          </w:p>
        </w:tc>
      </w:tr>
      <w:tr>
        <w:tc>
          <w:tcPr>
            <w:tcW w:type="dxa" w:w="181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新增重点</w:t>
            </w:r>
          </w:p>
        </w:tc>
        <w:tc>
          <w:tcPr>
            <w:tcW w:type="dxa" w:w="7313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纳入农户 AI 交流服务，支持 App、微信、飞书三类对话入口，采用统一会话中枢 + 渠道适配架构</w:t>
            </w:r>
          </w:p>
        </w:tc>
      </w:tr>
      <w:tr>
        <w:tc>
          <w:tcPr>
            <w:tcW w:type="dxa" w:w="181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版本建议</w:t>
            </w:r>
          </w:p>
        </w:tc>
        <w:tc>
          <w:tcPr>
            <w:tcW w:type="dxa" w:w="7313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V1 聚焦可运行闭环；AI 服务采用“先预留、后接入、再多渠道扩展”的阶段式落地方案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4EE"/>
            <w:tcBorders>
              <w:left w:val="single" w:sz="10" w:color="AFCBB8"/>
              <w:top w:val="single" w:sz="10" w:color="AFCBB8"/>
              <w:right w:val="single" w:sz="10" w:color="AFCBB8"/>
              <w:bottom w:val="single" w:sz="10" w:color="AFCBB8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D6A4F"/>
                <w:sz w:val="21"/>
              </w:rPr>
              <w:t>名称判断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20"/>
              </w:rPr>
              <w:t>“后稷农事服务AI综合平台”可以作为正式名称使用。它比“机井运营系统”更能覆盖你后续要纳入的灌溉、水肥、气象、农机、农户服务和 AI 协同能力。建议日常简称使用“后稷平台”或“后稷农服AI”，以便页面标题、飞书机器人名称、公众号与 App 内品牌表达更简洁。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100" w:line="264" w:lineRule="auto"/>
      </w:pPr>
      <w:r>
        <w:rPr>
          <w:rFonts w:ascii="Noto Sans CJK SC" w:hAnsi="Noto Sans CJK SC" w:eastAsia="Noto Sans CJK SC"/>
          <w:b/>
          <w:i w:val="0"/>
          <w:color w:val="2D6A4F"/>
          <w:sz w:val="30"/>
        </w:rPr>
        <w:t>0. 执行摘要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252B34"/>
          <w:sz w:val="22"/>
        </w:rPr>
        <w:t>这份方案不是继续堆页面，而是把平台从</w:t>
      </w:r>
      <w:r>
        <w:rPr>
          <w:rFonts w:ascii="Noto Sans CJK SC" w:hAnsi="Noto Sans CJK SC" w:eastAsia="Noto Sans CJK SC"/>
          <w:b/>
          <w:i w:val="0"/>
          <w:color w:val="252B34"/>
          <w:sz w:val="22"/>
        </w:rPr>
        <w:t>“机井控制后台”</w:t>
      </w:r>
      <w:r>
        <w:rPr>
          <w:rFonts w:ascii="Noto Sans CJK SC" w:hAnsi="Noto Sans CJK SC" w:eastAsia="Noto Sans CJK SC"/>
          <w:b w:val="0"/>
          <w:i w:val="0"/>
          <w:color w:val="252B34"/>
          <w:sz w:val="22"/>
        </w:rPr>
        <w:t>升级为</w:t>
      </w:r>
      <w:r>
        <w:rPr>
          <w:rFonts w:ascii="Noto Sans CJK SC" w:hAnsi="Noto Sans CJK SC" w:eastAsia="Noto Sans CJK SC"/>
          <w:b/>
          <w:i w:val="0"/>
          <w:color w:val="252B34"/>
          <w:sz w:val="22"/>
        </w:rPr>
        <w:t>“农业设备编排与农事服务平台”</w:t>
      </w:r>
      <w:r>
        <w:rPr>
          <w:rFonts w:ascii="Noto Sans CJK SC" w:hAnsi="Noto Sans CJK SC" w:eastAsia="Noto Sans CJK SC"/>
          <w:b w:val="0"/>
          <w:i w:val="0"/>
          <w:color w:val="252B34"/>
          <w:sz w:val="22"/>
        </w:rPr>
        <w:t>的一套可执行基线。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平台主线从“设备页面”升级为“对象 - 规则 - 编排 - 事件 - 终端 - 验收”的统一架构。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设备模型不再只围绕井和阀，而是统一纳入泵、水肥机、电磁阀、电动阀、气象设备、农机装备与传感器。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所有设备既可以单独运行，也可以按顺序、并行、条件触发、任务式方式组合运行。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移动端不再作为后补页面，而是在总体方案中与后台、农户端一并纳入；只是开发节奏分阶段推进。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农户 AI 交流服务被纳入总体方案，但不建议抢在核心运行链之前开发；推荐“Phase 2 做 AI 核心 + App 对话，Phase 3 扩到微信与飞书”。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9F2E7"/>
            <w:tcBorders>
              <w:left w:val="single" w:sz="10" w:color="AFCBB8"/>
              <w:top w:val="single" w:sz="10" w:color="AFCBB8"/>
              <w:right w:val="single" w:sz="10" w:color="AFCBB8"/>
              <w:bottom w:val="single" w:sz="10" w:color="AFCBB8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D6A4F"/>
                <w:sz w:val="21"/>
              </w:rPr>
              <w:t>一句话结论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20"/>
              </w:rPr>
              <w:t>后稷农事服务AI综合平台应被定义为：以区域和地块为业务范围，以设备家族和关系拓扑为对象载体，以规则与编排为运行中枢，以订单 / 告警 / 工单 / 验收为事件闭环，以后台 / 运维移动端 / 农户端 / 多渠道 AI 服务为交互终端的农业服务 SaaS 平台。</w:t>
            </w:r>
          </w:p>
        </w:tc>
      </w:tr>
    </w:tbl>
    <w:p>
      <w:pPr>
        <w:spacing w:after="60"/>
      </w:pPr>
    </w:p>
    <w:p>
      <w:pPr>
        <w:spacing w:before="200" w:after="100" w:line="264" w:lineRule="auto"/>
      </w:pPr>
      <w:r>
        <w:rPr>
          <w:rFonts w:ascii="Noto Sans CJK SC" w:hAnsi="Noto Sans CJK SC" w:eastAsia="Noto Sans CJK SC"/>
          <w:b/>
          <w:i w:val="0"/>
          <w:color w:val="2D6A4F"/>
          <w:sz w:val="30"/>
        </w:rPr>
        <w:t>1. 平台正式定位与边界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1.1 平台定位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252B34"/>
          <w:sz w:val="21"/>
        </w:rPr>
        <w:t>平台的核心目标不是只把设备“连上”，而是把设备、服务、收费、运维、农户沟通和后续智能化运营放在同一套架构下管理。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对外，它是农户和合作社可感知的农事服务平台。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对内，它是项目经理、财务、设备管理员、实施方、运维团队共享的一套运营中枢。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对研发，它是一套可扩展的设备编排与业务闭环平台，而不是某一种设备的专用后台。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1.2 本方案明确不建议的做法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不建议把水肥机、气象设备、农机装备分别做成互不相干的三套子系统。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不建议在 V1 同时追求 3D、视频、复杂规则引擎、智能水网大屏和全面 AI 能力。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不建议让前端自行判断能否启动、何时开始计费、是否触发安全停机链，这些必须后端统一裁决。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1.3 建设原则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871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9"/>
              </w:rPr>
              <w:t>原则</w:t>
            </w:r>
          </w:p>
        </w:tc>
        <w:tc>
          <w:tcPr>
            <w:tcW w:type="dxa" w:w="7257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9"/>
              </w:rPr>
              <w:t>解释</w:t>
            </w:r>
          </w:p>
        </w:tc>
      </w:tr>
      <w:tr>
        <w:tc>
          <w:tcPr>
            <w:tcW w:type="dxa" w:w="187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先闭环后扩展</w:t>
            </w:r>
          </w:p>
        </w:tc>
        <w:tc>
          <w:tcPr>
            <w:tcW w:type="dxa" w:w="725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先打通可配置、可运行、可计费、可告警、可派工、可验收的主链，再扩高级能力。</w:t>
            </w:r>
          </w:p>
        </w:tc>
      </w:tr>
      <w:tr>
        <w:tc>
          <w:tcPr>
            <w:tcW w:type="dxa" w:w="187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先泛化模型后落功能</w:t>
            </w:r>
          </w:p>
        </w:tc>
        <w:tc>
          <w:tcPr>
            <w:tcW w:type="dxa" w:w="725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先把设备家族、能力模型、关系拓扑和编排模型设计好，再分阶段上线具体模块。</w:t>
            </w:r>
          </w:p>
        </w:tc>
      </w:tr>
      <w:tr>
        <w:tc>
          <w:tcPr>
            <w:tcW w:type="dxa" w:w="187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任务优先于设备</w:t>
            </w:r>
          </w:p>
        </w:tc>
        <w:tc>
          <w:tcPr>
            <w:tcW w:type="dxa" w:w="725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设备是资源和能力载体，任务才是业务主线。</w:t>
            </w:r>
          </w:p>
        </w:tc>
      </w:tr>
      <w:tr>
        <w:tc>
          <w:tcPr>
            <w:tcW w:type="dxa" w:w="187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统一会话中枢</w:t>
            </w:r>
          </w:p>
        </w:tc>
        <w:tc>
          <w:tcPr>
            <w:tcW w:type="dxa" w:w="725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运行会话、订单会话、AI 会话都需要有统一身份和上下文映射。</w:t>
            </w:r>
          </w:p>
        </w:tc>
      </w:tr>
      <w:tr>
        <w:tc>
          <w:tcPr>
            <w:tcW w:type="dxa" w:w="187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渠道适配而非渠道复制</w:t>
            </w:r>
          </w:p>
        </w:tc>
        <w:tc>
          <w:tcPr>
            <w:tcW w:type="dxa" w:w="725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9"/>
              </w:rPr>
              <w:t>App、微信、飞书共享同一套 AI 与业务中枢，只做入口和交互层差异化。</w:t>
            </w:r>
          </w:p>
        </w:tc>
      </w:tr>
    </w:tbl>
    <w:p>
      <w:pPr>
        <w:spacing w:after="80"/>
      </w:pPr>
    </w:p>
    <w:p>
      <w:pPr>
        <w:spacing w:before="200" w:after="100" w:line="264" w:lineRule="auto"/>
      </w:pPr>
      <w:r>
        <w:rPr>
          <w:rFonts w:ascii="Noto Sans CJK SC" w:hAnsi="Noto Sans CJK SC" w:eastAsia="Noto Sans CJK SC"/>
          <w:b/>
          <w:i w:val="0"/>
          <w:color w:val="2D6A4F"/>
          <w:sz w:val="30"/>
        </w:rPr>
        <w:t>2. 总体架构：六层主架构 + 两个支撑面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252B34"/>
          <w:sz w:val="21"/>
        </w:rPr>
        <w:t>建议把平台统一理解为六层主架构，并额外补上数据治理与渠道支撑两个横向能力面。这样后续无论增加水肥机、AI 服务还是农机装备，都不会把系统再次拖回“页面堆叠式开发”。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247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层级</w:t>
            </w:r>
          </w:p>
        </w:tc>
        <w:tc>
          <w:tcPr>
            <w:tcW w:type="dxa" w:w="3061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核心对象</w:t>
            </w:r>
          </w:p>
        </w:tc>
        <w:tc>
          <w:tcPr>
            <w:tcW w:type="dxa" w:w="2835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职责</w:t>
            </w:r>
          </w:p>
        </w:tc>
        <w:tc>
          <w:tcPr>
            <w:tcW w:type="dxa" w:w="1984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建议阶段</w:t>
            </w:r>
          </w:p>
        </w:tc>
      </w:tr>
      <w:tr>
        <w:tc>
          <w:tcPr>
            <w:tcW w:type="dxa" w:w="124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对象层</w:t>
            </w:r>
          </w:p>
        </w:tc>
        <w:tc>
          <w:tcPr>
            <w:tcW w:type="dxa" w:w="3061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区域、地块、设备类型、设备实例、农户、运维人员、项目、合作社</w:t>
            </w:r>
          </w:p>
        </w:tc>
        <w:tc>
          <w:tcPr>
            <w:tcW w:type="dxa" w:w="283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定义‘有什么、在哪、归谁、状态如何’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V1 必做</w:t>
            </w:r>
          </w:p>
        </w:tc>
      </w:tr>
      <w:tr>
        <w:tc>
          <w:tcPr>
            <w:tcW w:type="dxa" w:w="124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能力层</w:t>
            </w:r>
          </w:p>
        </w:tc>
        <w:tc>
          <w:tcPr>
            <w:tcW w:type="dxa" w:w="3061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启动、停止、开阀、配肥、采集、定位、告警、轨迹</w:t>
            </w:r>
          </w:p>
        </w:tc>
        <w:tc>
          <w:tcPr>
            <w:tcW w:type="dxa" w:w="283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定义设备‘能做什么’而不是只定义设备名称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V1 打底</w:t>
            </w:r>
          </w:p>
        </w:tc>
      </w:tr>
      <w:tr>
        <w:tc>
          <w:tcPr>
            <w:tcW w:type="dxa" w:w="124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规则层</w:t>
            </w:r>
          </w:p>
        </w:tc>
        <w:tc>
          <w:tcPr>
            <w:tcW w:type="dxa" w:w="3061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计费包、区域策略、井级策略、泵阀关系、泵肥关系、告警阈值</w:t>
            </w:r>
          </w:p>
        </w:tc>
        <w:tc>
          <w:tcPr>
            <w:tcW w:type="dxa" w:w="283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定义‘按什么规则运行和收费’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V1 必做</w:t>
            </w:r>
          </w:p>
        </w:tc>
      </w:tr>
      <w:tr>
        <w:tc>
          <w:tcPr>
            <w:tcW w:type="dxa" w:w="124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编排执行层</w:t>
            </w:r>
          </w:p>
        </w:tc>
        <w:tc>
          <w:tcPr>
            <w:tcW w:type="dxa" w:w="3061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顺序链、并行链、条件触发、运行容器、任务驱动</w:t>
            </w:r>
          </w:p>
        </w:tc>
        <w:tc>
          <w:tcPr>
            <w:tcW w:type="dxa" w:w="283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定义‘多个设备如何单独或组合运行’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V1 打底 / V2 增强</w:t>
            </w:r>
          </w:p>
        </w:tc>
      </w:tr>
      <w:tr>
        <w:tc>
          <w:tcPr>
            <w:tcW w:type="dxa" w:w="124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事件层</w:t>
            </w:r>
          </w:p>
        </w:tc>
        <w:tc>
          <w:tcPr>
            <w:tcW w:type="dxa" w:w="3061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会话、订单、充值、结算、告警、工单、命令、日志、消息</w:t>
            </w:r>
          </w:p>
        </w:tc>
        <w:tc>
          <w:tcPr>
            <w:tcW w:type="dxa" w:w="283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定义运行之后形成的业务结果和处理闭环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V1 必做</w:t>
            </w:r>
          </w:p>
        </w:tc>
      </w:tr>
      <w:tr>
        <w:tc>
          <w:tcPr>
            <w:tcW w:type="dxa" w:w="124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终端与角色层</w:t>
            </w:r>
          </w:p>
        </w:tc>
        <w:tc>
          <w:tcPr>
            <w:tcW w:type="dxa" w:w="3061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/ops、/m、/u、App、微信、飞书、UAT</w:t>
            </w:r>
          </w:p>
        </w:tc>
        <w:tc>
          <w:tcPr>
            <w:tcW w:type="dxa" w:w="283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定义谁从哪个入口使用什么能力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V1 纳入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4EE"/>
            <w:tcBorders>
              <w:left w:val="single" w:sz="10" w:color="AFCBB8"/>
              <w:top w:val="single" w:sz="10" w:color="AFCBB8"/>
              <w:right w:val="single" w:sz="10" w:color="AFCBB8"/>
              <w:bottom w:val="single" w:sz="10" w:color="AFCBB8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D6A4F"/>
                <w:sz w:val="21"/>
              </w:rPr>
              <w:t>横向支撑面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20"/>
              </w:rPr>
              <w:t>支撑面一：数据治理与审计，包括主数据、身份映射、日志、指标、配置版本、审计留痕。支撑面二：集成与渠道，包括设备通讯适配、微信/飞书渠道接入、消息推送、文件与图片上传、第三方支付或账户系统对接。</w:t>
            </w:r>
          </w:p>
        </w:tc>
      </w:tr>
    </w:tbl>
    <w:p>
      <w:pPr>
        <w:spacing w:after="60"/>
      </w:pPr>
    </w:p>
    <w:p>
      <w:pPr>
        <w:spacing w:before="200" w:after="100" w:line="264" w:lineRule="auto"/>
      </w:pPr>
      <w:r>
        <w:rPr>
          <w:rFonts w:ascii="Noto Sans CJK SC" w:hAnsi="Noto Sans CJK SC" w:eastAsia="Noto Sans CJK SC"/>
          <w:b/>
          <w:i w:val="0"/>
          <w:color w:val="2D6A4F"/>
          <w:sz w:val="30"/>
        </w:rPr>
        <w:t>3. 统一设备家族与拓扑关系模型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3.1 六大设备家族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701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设备家族</w:t>
            </w:r>
          </w:p>
        </w:tc>
        <w:tc>
          <w:tcPr>
            <w:tcW w:type="dxa" w:w="3969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范围</w:t>
            </w:r>
          </w:p>
        </w:tc>
        <w:tc>
          <w:tcPr>
            <w:tcW w:type="dxa" w:w="3175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平台关注点</w:t>
            </w:r>
          </w:p>
        </w:tc>
      </w:tr>
      <w:tr>
        <w:tc>
          <w:tcPr>
            <w:tcW w:type="dxa" w:w="170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水源与动力设备</w:t>
            </w:r>
          </w:p>
        </w:tc>
        <w:tc>
          <w:tcPr>
            <w:tcW w:type="dxa" w:w="396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机井、泵、水源泵、泵站、变频柜、启动柜</w:t>
            </w:r>
          </w:p>
        </w:tc>
        <w:tc>
          <w:tcPr>
            <w:tcW w:type="dxa" w:w="317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供水、供压、动力控制</w:t>
            </w:r>
          </w:p>
        </w:tc>
      </w:tr>
      <w:tr>
        <w:tc>
          <w:tcPr>
            <w:tcW w:type="dxa" w:w="170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水肥与处理设备</w:t>
            </w:r>
          </w:p>
        </w:tc>
        <w:tc>
          <w:tcPr>
            <w:tcW w:type="dxa" w:w="396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水肥机、配肥单元、加药装置、过滤器控制单元</w:t>
            </w:r>
          </w:p>
        </w:tc>
        <w:tc>
          <w:tcPr>
            <w:tcW w:type="dxa" w:w="317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施肥、配比、冲洗、过滤</w:t>
            </w:r>
          </w:p>
        </w:tc>
      </w:tr>
      <w:tr>
        <w:tc>
          <w:tcPr>
            <w:tcW w:type="dxa" w:w="170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末端控制设备</w:t>
            </w:r>
          </w:p>
        </w:tc>
        <w:tc>
          <w:tcPr>
            <w:tcW w:type="dxa" w:w="396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电磁阀、电动阀、分区控制器、出水口终端</w:t>
            </w:r>
          </w:p>
        </w:tc>
        <w:tc>
          <w:tcPr>
            <w:tcW w:type="dxa" w:w="317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放行、关闭、分区控制</w:t>
            </w:r>
          </w:p>
        </w:tc>
      </w:tr>
      <w:tr>
        <w:tc>
          <w:tcPr>
            <w:tcW w:type="dxa" w:w="170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感知监测设备</w:t>
            </w:r>
          </w:p>
        </w:tc>
        <w:tc>
          <w:tcPr>
            <w:tcW w:type="dxa" w:w="396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流量计、水位计、压力、功率、土壤墒情、气象站</w:t>
            </w:r>
          </w:p>
        </w:tc>
        <w:tc>
          <w:tcPr>
            <w:tcW w:type="dxa" w:w="317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采集、判断、触发条件</w:t>
            </w:r>
          </w:p>
        </w:tc>
      </w:tr>
      <w:tr>
        <w:tc>
          <w:tcPr>
            <w:tcW w:type="dxa" w:w="170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通讯与边缘设备</w:t>
            </w:r>
          </w:p>
        </w:tc>
        <w:tc>
          <w:tcPr>
            <w:tcW w:type="dxa" w:w="396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网关、DTU、边缘控制器、通讯模块</w:t>
            </w:r>
          </w:p>
        </w:tc>
        <w:tc>
          <w:tcPr>
            <w:tcW w:type="dxa" w:w="317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协议转发、边缘执行、数据回传</w:t>
            </w:r>
          </w:p>
        </w:tc>
      </w:tr>
      <w:tr>
        <w:tc>
          <w:tcPr>
            <w:tcW w:type="dxa" w:w="170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农机与作业设备</w:t>
            </w:r>
          </w:p>
        </w:tc>
        <w:tc>
          <w:tcPr>
            <w:tcW w:type="dxa" w:w="396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拖拉机、喷灌机、植保设备、作业采集终端</w:t>
            </w:r>
          </w:p>
        </w:tc>
        <w:tc>
          <w:tcPr>
            <w:tcW w:type="dxa" w:w="317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作业、轨迹、任务执行</w:t>
            </w:r>
          </w:p>
        </w:tc>
      </w:tr>
    </w:tbl>
    <w:p>
      <w:pPr>
        <w:spacing w:after="80"/>
      </w:pP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3.2 设备抽象的四个层次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设备类型：定义一种设备的共性、默认能力和默认规则。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设备实例：定义某一台具体设备，带有编号、区域、在线状态和绑定关系。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能力配置：定义它能执行哪些标准动作、上报哪些指标、支持哪些事件。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关系拓扑：定义它和其他对象的归属、供给、控制、编排、互斥和依赖关系。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3.3 必须显式建模的关系类型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587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关系类型</w:t>
            </w:r>
          </w:p>
        </w:tc>
        <w:tc>
          <w:tcPr>
            <w:tcW w:type="dxa" w:w="3402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示例</w:t>
            </w:r>
          </w:p>
        </w:tc>
        <w:tc>
          <w:tcPr>
            <w:tcW w:type="dxa" w:w="3855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用途</w:t>
            </w:r>
          </w:p>
        </w:tc>
      </w:tr>
      <w:tr>
        <w:tc>
          <w:tcPr>
            <w:tcW w:type="dxa" w:w="158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归属关系</w:t>
            </w:r>
          </w:p>
        </w:tc>
        <w:tc>
          <w:tcPr>
            <w:tcW w:type="dxa" w:w="340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阀属于某井、设备属于某区域、某地块归属某服务区</w:t>
            </w:r>
          </w:p>
        </w:tc>
        <w:tc>
          <w:tcPr>
            <w:tcW w:type="dxa" w:w="385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用于数据归集、权限范围、统计</w:t>
            </w:r>
          </w:p>
        </w:tc>
      </w:tr>
      <w:tr>
        <w:tc>
          <w:tcPr>
            <w:tcW w:type="dxa" w:w="158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供给关系</w:t>
            </w:r>
          </w:p>
        </w:tc>
        <w:tc>
          <w:tcPr>
            <w:tcW w:type="dxa" w:w="340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泵为阀提供水源、水肥机为灌溉链提供肥液</w:t>
            </w:r>
          </w:p>
        </w:tc>
        <w:tc>
          <w:tcPr>
            <w:tcW w:type="dxa" w:w="385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用于运行依赖和计费解释</w:t>
            </w:r>
          </w:p>
        </w:tc>
      </w:tr>
      <w:tr>
        <w:tc>
          <w:tcPr>
            <w:tcW w:type="dxa" w:w="158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控制关系</w:t>
            </w:r>
          </w:p>
        </w:tc>
        <w:tc>
          <w:tcPr>
            <w:tcW w:type="dxa" w:w="340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控制器控制泵、网关代理多个终端</w:t>
            </w:r>
          </w:p>
        </w:tc>
        <w:tc>
          <w:tcPr>
            <w:tcW w:type="dxa" w:w="385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用于命令路由和故障定位</w:t>
            </w:r>
          </w:p>
        </w:tc>
      </w:tr>
      <w:tr>
        <w:tc>
          <w:tcPr>
            <w:tcW w:type="dxa" w:w="158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编排关系</w:t>
            </w:r>
          </w:p>
        </w:tc>
        <w:tc>
          <w:tcPr>
            <w:tcW w:type="dxa" w:w="340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泵先于水肥机，水肥机先于阀门；多个阀门共享同一泵</w:t>
            </w:r>
          </w:p>
        </w:tc>
        <w:tc>
          <w:tcPr>
            <w:tcW w:type="dxa" w:w="385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用于运行链和安全保护</w:t>
            </w:r>
          </w:p>
        </w:tc>
      </w:tr>
      <w:tr>
        <w:tc>
          <w:tcPr>
            <w:tcW w:type="dxa" w:w="158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互斥 / 并发关系</w:t>
            </w:r>
          </w:p>
        </w:tc>
        <w:tc>
          <w:tcPr>
            <w:tcW w:type="dxa" w:w="340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某泵最大并发 3 个阀门；某时段只允许一个施肥任务</w:t>
            </w:r>
          </w:p>
        </w:tc>
        <w:tc>
          <w:tcPr>
            <w:tcW w:type="dxa" w:w="385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用于资源容量控制</w:t>
            </w:r>
          </w:p>
        </w:tc>
      </w:tr>
    </w:tbl>
    <w:p>
      <w:pPr>
        <w:spacing w:after="80"/>
      </w:pPr>
    </w:p>
    <w:p>
      <w:pPr>
        <w:spacing w:before="200" w:after="100" w:line="264" w:lineRule="auto"/>
      </w:pPr>
      <w:r>
        <w:rPr>
          <w:rFonts w:ascii="Noto Sans CJK SC" w:hAnsi="Noto Sans CJK SC" w:eastAsia="Noto Sans CJK SC"/>
          <w:b/>
          <w:i w:val="0"/>
          <w:color w:val="2D6A4F"/>
          <w:sz w:val="30"/>
        </w:rPr>
        <w:t>4. 设备编排与运行模型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252B34"/>
          <w:sz w:val="21"/>
        </w:rPr>
        <w:t>平台不应继续把运行链写死成“井 - 阀”。推荐统一采用“任务 + 运行链”的模型：任务是业务主角，运行链是设备动作序列，设备只是节点。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4.1 运行链的四类节点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531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节点类型</w:t>
            </w:r>
          </w:p>
        </w:tc>
        <w:tc>
          <w:tcPr>
            <w:tcW w:type="dxa" w:w="3798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典型设备 / 对象</w:t>
            </w:r>
          </w:p>
        </w:tc>
        <w:tc>
          <w:tcPr>
            <w:tcW w:type="dxa" w:w="3515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职责</w:t>
            </w:r>
          </w:p>
        </w:tc>
      </w:tr>
      <w:tr>
        <w:tc>
          <w:tcPr>
            <w:tcW w:type="dxa" w:w="153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资源节点</w:t>
            </w:r>
          </w:p>
        </w:tc>
        <w:tc>
          <w:tcPr>
            <w:tcW w:type="dxa" w:w="3798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井、水源、泵、药液箱、电源、管网段</w:t>
            </w:r>
          </w:p>
        </w:tc>
        <w:tc>
          <w:tcPr>
            <w:tcW w:type="dxa" w:w="351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提供前置资源</w:t>
            </w:r>
          </w:p>
        </w:tc>
      </w:tr>
      <w:tr>
        <w:tc>
          <w:tcPr>
            <w:tcW w:type="dxa" w:w="153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控制节点</w:t>
            </w:r>
          </w:p>
        </w:tc>
        <w:tc>
          <w:tcPr>
            <w:tcW w:type="dxa" w:w="3798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泵、水肥机、电磁阀、电动阀</w:t>
            </w:r>
          </w:p>
        </w:tc>
        <w:tc>
          <w:tcPr>
            <w:tcW w:type="dxa" w:w="351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执行动作</w:t>
            </w:r>
          </w:p>
        </w:tc>
      </w:tr>
      <w:tr>
        <w:tc>
          <w:tcPr>
            <w:tcW w:type="dxa" w:w="153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感知节点</w:t>
            </w:r>
          </w:p>
        </w:tc>
        <w:tc>
          <w:tcPr>
            <w:tcW w:type="dxa" w:w="3798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流量、压力、功率、水位、气象、墒情</w:t>
            </w:r>
          </w:p>
        </w:tc>
        <w:tc>
          <w:tcPr>
            <w:tcW w:type="dxa" w:w="351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提供判断依据</w:t>
            </w:r>
          </w:p>
        </w:tc>
      </w:tr>
      <w:tr>
        <w:tc>
          <w:tcPr>
            <w:tcW w:type="dxa" w:w="153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终端节点</w:t>
            </w:r>
          </w:p>
        </w:tc>
        <w:tc>
          <w:tcPr>
            <w:tcW w:type="dxa" w:w="3798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阀门会话、出水口、地块任务、农机任务</w:t>
            </w:r>
          </w:p>
        </w:tc>
        <w:tc>
          <w:tcPr>
            <w:tcW w:type="dxa" w:w="3515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形成用户可感知结果</w:t>
            </w:r>
          </w:p>
        </w:tc>
      </w:tr>
    </w:tbl>
    <w:p>
      <w:pPr>
        <w:spacing w:after="80"/>
      </w:pP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4.2 平台必须支持的五种标准运行模式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268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模式</w:t>
            </w:r>
          </w:p>
        </w:tc>
        <w:tc>
          <w:tcPr>
            <w:tcW w:type="dxa" w:w="4422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示例</w:t>
            </w:r>
          </w:p>
        </w:tc>
        <w:tc>
          <w:tcPr>
            <w:tcW w:type="dxa" w:w="2154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阶段</w:t>
            </w:r>
          </w:p>
        </w:tc>
      </w:tr>
      <w:tr>
        <w:tc>
          <w:tcPr>
            <w:tcW w:type="dxa" w:w="2268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模式 A：单设备独立运行</w:t>
            </w:r>
          </w:p>
        </w:tc>
        <w:tc>
          <w:tcPr>
            <w:tcW w:type="dxa" w:w="442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单泵测试、单阀启停、单水肥机巡检</w:t>
            </w:r>
          </w:p>
        </w:tc>
        <w:tc>
          <w:tcPr>
            <w:tcW w:type="dxa" w:w="215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V1 必须支持</w:t>
            </w:r>
          </w:p>
        </w:tc>
      </w:tr>
      <w:tr>
        <w:tc>
          <w:tcPr>
            <w:tcW w:type="dxa" w:w="2268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模式 B：顺序运行</w:t>
            </w:r>
          </w:p>
        </w:tc>
        <w:tc>
          <w:tcPr>
            <w:tcW w:type="dxa" w:w="442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泵 → 水肥机 → 阀门</w:t>
            </w:r>
          </w:p>
        </w:tc>
        <w:tc>
          <w:tcPr>
            <w:tcW w:type="dxa" w:w="215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V2 重点</w:t>
            </w:r>
          </w:p>
        </w:tc>
      </w:tr>
      <w:tr>
        <w:tc>
          <w:tcPr>
            <w:tcW w:type="dxa" w:w="2268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模式 C：并行协同运行</w:t>
            </w:r>
          </w:p>
        </w:tc>
        <w:tc>
          <w:tcPr>
            <w:tcW w:type="dxa" w:w="442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一井多阀共享泵，多传感器参与判断</w:t>
            </w:r>
          </w:p>
        </w:tc>
        <w:tc>
          <w:tcPr>
            <w:tcW w:type="dxa" w:w="215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V1 打底 / V2 强化</w:t>
            </w:r>
          </w:p>
        </w:tc>
      </w:tr>
      <w:tr>
        <w:tc>
          <w:tcPr>
            <w:tcW w:type="dxa" w:w="2268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模式 D：条件触发运行</w:t>
            </w:r>
          </w:p>
        </w:tc>
        <w:tc>
          <w:tcPr>
            <w:tcW w:type="dxa" w:w="442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风速过大禁喷、墒情阈值停止、功率达阈值再计费</w:t>
            </w:r>
          </w:p>
        </w:tc>
        <w:tc>
          <w:tcPr>
            <w:tcW w:type="dxa" w:w="215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V2-V3</w:t>
            </w:r>
          </w:p>
        </w:tc>
      </w:tr>
      <w:tr>
        <w:tc>
          <w:tcPr>
            <w:tcW w:type="dxa" w:w="2268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模式 E：任务式运行</w:t>
            </w:r>
          </w:p>
        </w:tc>
        <w:tc>
          <w:tcPr>
            <w:tcW w:type="dxa" w:w="442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某地块执行完整灌溉任务或水肥任务</w:t>
            </w:r>
          </w:p>
        </w:tc>
        <w:tc>
          <w:tcPr>
            <w:tcW w:type="dxa" w:w="215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V2 重点</w:t>
            </w:r>
          </w:p>
        </w:tc>
      </w:tr>
    </w:tbl>
    <w:p>
      <w:pPr>
        <w:spacing w:after="80"/>
      </w:pP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4.3 运行容器与安全保护链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252B34"/>
          <w:sz w:val="21"/>
        </w:rPr>
        <w:t>对一井多阀共享泵、水肥联动等场景，建议建立“运行容器”概念。运行容器记录当前参与本次运行的资源、控制节点、活跃会话、容量占用与退出顺序。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最后一个阀门结束后，不能只关当前阀，还要先判断是否存在其他活跃阀门。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若无其他活跃阀门，先停泵，再确认泵停稳，再关闭最后一个阀，再回查该井下所有阀门状态，最后关闭运行容器。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水肥任务链中还需加入清洗、回流或停止施肥的保护步骤，不能把停机链完全交给自由配置。</w:t>
      </w:r>
    </w:p>
    <w:p>
      <w:pPr>
        <w:spacing w:before="200" w:after="100" w:line="264" w:lineRule="auto"/>
      </w:pPr>
      <w:r>
        <w:rPr>
          <w:rFonts w:ascii="Noto Sans CJK SC" w:hAnsi="Noto Sans CJK SC" w:eastAsia="Noto Sans CJK SC"/>
          <w:b/>
          <w:i w:val="0"/>
          <w:color w:val="2D6A4F"/>
          <w:sz w:val="30"/>
        </w:rPr>
        <w:t>5. 终端体系：后台 / 运维移动端 / 农户端 / 多渠道 AI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5.1 四类终端统一纳入总体方案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814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终端</w:t>
            </w:r>
          </w:p>
        </w:tc>
        <w:tc>
          <w:tcPr>
            <w:tcW w:type="dxa" w:w="2381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主要人群</w:t>
            </w:r>
          </w:p>
        </w:tc>
        <w:tc>
          <w:tcPr>
            <w:tcW w:type="dxa" w:w="3572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核心职责</w:t>
            </w:r>
          </w:p>
        </w:tc>
        <w:tc>
          <w:tcPr>
            <w:tcW w:type="dxa" w:w="1644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建议阶段</w:t>
            </w:r>
          </w:p>
        </w:tc>
      </w:tr>
      <w:tr>
        <w:tc>
          <w:tcPr>
            <w:tcW w:type="dxa" w:w="181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/ops 管理后台</w:t>
            </w:r>
          </w:p>
        </w:tc>
        <w:tc>
          <w:tcPr>
            <w:tcW w:type="dxa" w:w="2381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项目经理、财务、平台管理员、调度人员</w:t>
            </w:r>
          </w:p>
        </w:tc>
        <w:tc>
          <w:tcPr>
            <w:tcW w:type="dxa" w:w="357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对象管理、规则配置、运营分析、事件与 UAT</w:t>
            </w:r>
          </w:p>
        </w:tc>
        <w:tc>
          <w:tcPr>
            <w:tcW w:type="dxa" w:w="164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Phase 1</w:t>
            </w:r>
          </w:p>
        </w:tc>
      </w:tr>
      <w:tr>
        <w:tc>
          <w:tcPr>
            <w:tcW w:type="dxa" w:w="181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/m 运维移动端</w:t>
            </w:r>
          </w:p>
        </w:tc>
        <w:tc>
          <w:tcPr>
            <w:tcW w:type="dxa" w:w="2381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设备管理员、巡检人员、售后与施工人员</w:t>
            </w:r>
          </w:p>
        </w:tc>
        <w:tc>
          <w:tcPr>
            <w:tcW w:type="dxa" w:w="357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工单、巡检、现场处理、设备查看</w:t>
            </w:r>
          </w:p>
        </w:tc>
        <w:tc>
          <w:tcPr>
            <w:tcW w:type="dxa" w:w="164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Phase 1 基础 / Phase 2 增强</w:t>
            </w:r>
          </w:p>
        </w:tc>
      </w:tr>
      <w:tr>
        <w:tc>
          <w:tcPr>
            <w:tcW w:type="dxa" w:w="181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/u 农户端 / App</w:t>
            </w:r>
          </w:p>
        </w:tc>
        <w:tc>
          <w:tcPr>
            <w:tcW w:type="dxa" w:w="2381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农户、合作社成员、用水用户</w:t>
            </w:r>
          </w:p>
        </w:tc>
        <w:tc>
          <w:tcPr>
            <w:tcW w:type="dxa" w:w="357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扫码、会话、历史、支付、AI 服务入口</w:t>
            </w:r>
          </w:p>
        </w:tc>
        <w:tc>
          <w:tcPr>
            <w:tcW w:type="dxa" w:w="164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Phase 1 基础 / AI 从 Phase 2 开始</w:t>
            </w:r>
          </w:p>
        </w:tc>
      </w:tr>
      <w:tr>
        <w:tc>
          <w:tcPr>
            <w:tcW w:type="dxa" w:w="181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多渠道 AI 服务</w:t>
            </w:r>
          </w:p>
        </w:tc>
        <w:tc>
          <w:tcPr>
            <w:tcW w:type="dxa" w:w="2381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农户与服务团队</w:t>
            </w:r>
          </w:p>
        </w:tc>
        <w:tc>
          <w:tcPr>
            <w:tcW w:type="dxa" w:w="357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App 对话、微信对话、飞书对话与统一会话中心</w:t>
            </w:r>
          </w:p>
        </w:tc>
        <w:tc>
          <w:tcPr>
            <w:tcW w:type="dxa" w:w="164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Phase 2-3</w:t>
            </w:r>
          </w:p>
        </w:tc>
      </w:tr>
    </w:tbl>
    <w:p>
      <w:pPr>
        <w:spacing w:after="80"/>
      </w:pP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5.2 为什么移动端必须现在纳入、但不能一起全做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如果移动端不提前纳入，后台对象、状态、接口、图片上传、定位与消息机制后面都要返工。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如果移动端一开始全量开发，V1 会被工单细节、页面适配和现场交互拖慢主链闭环。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因此正确方式不是“先不想移动端”，而是“先纳入架构，先留接口和路由，功能分阶段实现”。</w:t>
      </w:r>
    </w:p>
    <w:p>
      <w:pPr>
        <w:spacing w:before="200" w:after="100" w:line="264" w:lineRule="auto"/>
      </w:pPr>
      <w:r>
        <w:rPr>
          <w:rFonts w:ascii="Noto Sans CJK SC" w:hAnsi="Noto Sans CJK SC" w:eastAsia="Noto Sans CJK SC"/>
          <w:b/>
          <w:i w:val="0"/>
          <w:color w:val="2D6A4F"/>
          <w:sz w:val="30"/>
        </w:rPr>
        <w:t>6. 农户 AI 交流服务：统一会话中枢 + 多渠道适配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252B34"/>
          <w:sz w:val="21"/>
        </w:rPr>
        <w:t>农户 AI 交流服务不应被理解成一个独立聊天页面，而应被定义成一套“服务入口 + 业务工具 + 知识库 + 人工协同 + 审计留痕”的平台能力。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6.1 服务定位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面向农户：提供用水指导、状态查询、异常解释、充值与订单帮助、转人工服务。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面向合作社 / 项目方：提供群内答疑、设备状态问答、工单协同和服务通知。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面向平台：降低人工客服成本，提高农户使用成功率与问题闭环速度。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6.2 必须覆盖的对话入口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417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渠道</w:t>
            </w:r>
          </w:p>
        </w:tc>
        <w:tc>
          <w:tcPr>
            <w:tcW w:type="dxa" w:w="1984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定位</w:t>
            </w:r>
          </w:p>
        </w:tc>
        <w:tc>
          <w:tcPr>
            <w:tcW w:type="dxa" w:w="4309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说明</w:t>
            </w:r>
          </w:p>
        </w:tc>
      </w:tr>
      <w:tr>
        <w:tc>
          <w:tcPr>
            <w:tcW w:type="dxa" w:w="141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App / 农户端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主入口</w:t>
            </w:r>
          </w:p>
        </w:tc>
        <w:tc>
          <w:tcPr>
            <w:tcW w:type="dxa" w:w="430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上下文最完整，最适合先跑通 AI 服务 1.0</w:t>
            </w:r>
          </w:p>
        </w:tc>
      </w:tr>
      <w:tr>
        <w:tc>
          <w:tcPr>
            <w:tcW w:type="dxa" w:w="141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微信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主外部渠道</w:t>
            </w:r>
          </w:p>
        </w:tc>
        <w:tc>
          <w:tcPr>
            <w:tcW w:type="dxa" w:w="430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最适合面向大量农户和轻量触达，建议在 AI 核心稳定后接入</w:t>
            </w:r>
          </w:p>
        </w:tc>
      </w:tr>
      <w:tr>
        <w:tc>
          <w:tcPr>
            <w:tcW w:type="dxa" w:w="141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飞书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协同与服务渠道</w:t>
            </w:r>
          </w:p>
        </w:tc>
        <w:tc>
          <w:tcPr>
            <w:tcW w:type="dxa" w:w="430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适合合作社、项目群、实施和服务团队，支持群对话与任务流转</w:t>
            </w:r>
          </w:p>
        </w:tc>
      </w:tr>
    </w:tbl>
    <w:p>
      <w:pPr>
        <w:spacing w:after="80"/>
      </w:pP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6.3 推荐能力边界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如何扫码用水、如何充值、如何结束会话、为什么没法启动。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查询当前会话、历史订单、余额、计费规则、异常告警说明。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根据区域、设备、订单和会话上下文给出解释，而不是只答 FAQ。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用户可一键转人工 / 生成服务请求 / 挂入工单，AI 不自己吞掉复杂问题。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AI 可以辅助解释，但高风险动作（例如直接控制设备、修改计费、解除保护）不允许由纯对话直接执行。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6.4 推荐技术架构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4EE"/>
            <w:tcBorders>
              <w:left w:val="single" w:sz="10" w:color="AFCBB8"/>
              <w:top w:val="single" w:sz="10" w:color="AFCBB8"/>
              <w:right w:val="single" w:sz="10" w:color="AFCBB8"/>
              <w:bottom w:val="single" w:sz="10" w:color="AFCBB8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D6A4F"/>
                <w:sz w:val="21"/>
              </w:rPr>
              <w:t>统一 AI 服务架构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20"/>
              </w:rPr>
              <w:t>渠道适配层（App / 微信 / 飞书） -&gt; 会话网关 -&gt; 身份映射与租户识别 -&gt; 上下文引擎（用户、区域、设备、订单、会话、工单） -&gt; 业务工具层（查询订单 / 查询会话 / 发起服务请求 / 创建工单 / 读取知识库） -&gt; 模型编排层 -&gt; 人工接入与审计留痕。AI 不直接越过工具层操作核心业务。</w:t>
            </w:r>
          </w:p>
        </w:tc>
      </w:tr>
    </w:tbl>
    <w:p>
      <w:pPr>
        <w:spacing w:after="60"/>
      </w:pP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6.5 阶段建议：AI 服务放在哪个阶段开发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191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阶段</w:t>
            </w:r>
          </w:p>
        </w:tc>
        <w:tc>
          <w:tcPr>
            <w:tcW w:type="dxa" w:w="1701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建议动作</w:t>
            </w:r>
          </w:p>
        </w:tc>
        <w:tc>
          <w:tcPr>
            <w:tcW w:type="dxa" w:w="4819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说明</w:t>
            </w:r>
          </w:p>
        </w:tc>
      </w:tr>
      <w:tr>
        <w:tc>
          <w:tcPr>
            <w:tcW w:type="dxa" w:w="119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Phase 1</w:t>
            </w:r>
          </w:p>
        </w:tc>
        <w:tc>
          <w:tcPr>
            <w:tcW w:type="dxa" w:w="1701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只预留</w:t>
            </w:r>
          </w:p>
        </w:tc>
        <w:tc>
          <w:tcPr>
            <w:tcW w:type="dxa" w:w="481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预留用户绑定、会话表、知识库目录、客服入口、转人工流程，不做复杂 AI 对话。</w:t>
            </w:r>
          </w:p>
        </w:tc>
      </w:tr>
      <w:tr>
        <w:tc>
          <w:tcPr>
            <w:tcW w:type="dxa" w:w="119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Phase 2</w:t>
            </w:r>
          </w:p>
        </w:tc>
        <w:tc>
          <w:tcPr>
            <w:tcW w:type="dxa" w:w="1701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AI 服务 1.0</w:t>
            </w:r>
          </w:p>
        </w:tc>
        <w:tc>
          <w:tcPr>
            <w:tcW w:type="dxa" w:w="481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先做 App 对话。原因是上下文最完整、联调成本最低、可最快验证真实价值。支持 FAQ、会话 / 订单查询、异常解释、转人工。</w:t>
            </w:r>
          </w:p>
        </w:tc>
      </w:tr>
      <w:tr>
        <w:tc>
          <w:tcPr>
            <w:tcW w:type="dxa" w:w="119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Phase 3</w:t>
            </w:r>
          </w:p>
        </w:tc>
        <w:tc>
          <w:tcPr>
            <w:tcW w:type="dxa" w:w="1701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多渠道扩展</w:t>
            </w:r>
          </w:p>
        </w:tc>
        <w:tc>
          <w:tcPr>
            <w:tcW w:type="dxa" w:w="481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接入微信与飞书，建立统一会话中心、渠道适配与身份映射。微信优先面向农户，飞书优先面向合作社 / 服务团队。</w:t>
            </w:r>
          </w:p>
        </w:tc>
      </w:tr>
      <w:tr>
        <w:tc>
          <w:tcPr>
            <w:tcW w:type="dxa" w:w="119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Phase 4</w:t>
            </w:r>
          </w:p>
        </w:tc>
        <w:tc>
          <w:tcPr>
            <w:tcW w:type="dxa" w:w="1701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农事智能建议</w:t>
            </w:r>
          </w:p>
        </w:tc>
        <w:tc>
          <w:tcPr>
            <w:tcW w:type="dxa" w:w="481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纳入天气、墒情、作物阶段、区域服务策略，提供更智能的农事建议、通知和主动提醒。</w:t>
            </w:r>
          </w:p>
        </w:tc>
      </w:tr>
    </w:tbl>
    <w:p>
      <w:pPr>
        <w:spacing w:after="8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252B34"/>
          <w:sz w:val="21"/>
        </w:rPr>
        <w:t>结论：我建议把“农户 AI 交流服务”纳入总体方案，但不要抢在 Phase 1 主链之前开发；推荐的最优落地顺序是：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Phase 1 预留会话与知识能力，不做强依赖。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Phase 2 先做 App 内 AI 服务 1.0。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Phase 3 扩到微信与飞书。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Phase 4 再上更智能的农事建议与主动服务。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6.6 AI 服务必须新增的数据对象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814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对象</w:t>
            </w:r>
          </w:p>
        </w:tc>
        <w:tc>
          <w:tcPr>
            <w:tcW w:type="dxa" w:w="6803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用途</w:t>
            </w:r>
          </w:p>
        </w:tc>
      </w:tr>
      <w:tr>
        <w:tc>
          <w:tcPr>
            <w:tcW w:type="dxa" w:w="181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ai_session</w:t>
            </w:r>
          </w:p>
        </w:tc>
        <w:tc>
          <w:tcPr>
            <w:tcW w:type="dxa" w:w="6803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记录一段对话会话，绑定用户、渠道、租户、区域上下文</w:t>
            </w:r>
          </w:p>
        </w:tc>
      </w:tr>
      <w:tr>
        <w:tc>
          <w:tcPr>
            <w:tcW w:type="dxa" w:w="181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ai_message</w:t>
            </w:r>
          </w:p>
        </w:tc>
        <w:tc>
          <w:tcPr>
            <w:tcW w:type="dxa" w:w="6803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记录消息内容、角色、工具调用、响应结果与审计信息</w:t>
            </w:r>
          </w:p>
        </w:tc>
      </w:tr>
      <w:tr>
        <w:tc>
          <w:tcPr>
            <w:tcW w:type="dxa" w:w="181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channel_binding</w:t>
            </w:r>
          </w:p>
        </w:tc>
        <w:tc>
          <w:tcPr>
            <w:tcW w:type="dxa" w:w="6803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绑定 App 账号、微信 openid / unionid、飞书 user_id 到统一主体</w:t>
            </w:r>
          </w:p>
        </w:tc>
      </w:tr>
      <w:tr>
        <w:tc>
          <w:tcPr>
            <w:tcW w:type="dxa" w:w="181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knowledge_item</w:t>
            </w:r>
          </w:p>
        </w:tc>
        <w:tc>
          <w:tcPr>
            <w:tcW w:type="dxa" w:w="6803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FAQ、SOP、流程说明、收费规则、告警说明等知识条目</w:t>
            </w:r>
          </w:p>
        </w:tc>
      </w:tr>
      <w:tr>
        <w:tc>
          <w:tcPr>
            <w:tcW w:type="dxa" w:w="181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handoff_ticket</w:t>
            </w:r>
          </w:p>
        </w:tc>
        <w:tc>
          <w:tcPr>
            <w:tcW w:type="dxa" w:w="6803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AI 转人工、转客服、转工单的挂起记录</w:t>
            </w:r>
          </w:p>
        </w:tc>
      </w:tr>
    </w:tbl>
    <w:p>
      <w:pPr>
        <w:spacing w:after="80"/>
      </w:pPr>
    </w:p>
    <w:p>
      <w:pPr>
        <w:spacing w:before="200" w:after="100" w:line="264" w:lineRule="auto"/>
      </w:pPr>
      <w:r>
        <w:rPr>
          <w:rFonts w:ascii="Noto Sans CJK SC" w:hAnsi="Noto Sans CJK SC" w:eastAsia="Noto Sans CJK SC"/>
          <w:b/>
          <w:i w:val="0"/>
          <w:color w:val="2D6A4F"/>
          <w:sz w:val="30"/>
        </w:rPr>
        <w:t>7. 推荐一级菜单重构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252B34"/>
          <w:sz w:val="21"/>
        </w:rPr>
        <w:t>原来按中心分散的菜单容易越做越碎。建议在新平台里统一收成 7 个一级菜单，既能容纳扩展，又不会失控。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一级菜单</w:t>
            </w:r>
          </w:p>
        </w:tc>
        <w:tc>
          <w:tcPr>
            <w:tcW w:type="dxa" w:w="6917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范围</w:t>
            </w:r>
          </w:p>
        </w:tc>
      </w:tr>
      <w:tr>
        <w:tc>
          <w:tcPr>
            <w:tcW w:type="dxa" w:w="170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驾驶舱</w:t>
            </w:r>
          </w:p>
        </w:tc>
        <w:tc>
          <w:tcPr>
            <w:tcW w:type="dxa" w:w="691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经营概览、设备概览、风险待办、今日任务、运行趋势</w:t>
            </w:r>
          </w:p>
        </w:tc>
      </w:tr>
      <w:tr>
        <w:tc>
          <w:tcPr>
            <w:tcW w:type="dxa" w:w="170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对象中心</w:t>
            </w:r>
          </w:p>
        </w:tc>
        <w:tc>
          <w:tcPr>
            <w:tcW w:type="dxa" w:w="691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区域、地块、设备类型、设备台账、机井、泵、水肥机、阀门、气象设备、农机装备、农户、运维人员</w:t>
            </w:r>
          </w:p>
        </w:tc>
      </w:tr>
      <w:tr>
        <w:tc>
          <w:tcPr>
            <w:tcW w:type="dxa" w:w="170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规则与编排中心</w:t>
            </w:r>
          </w:p>
        </w:tc>
        <w:tc>
          <w:tcPr>
            <w:tcW w:type="dxa" w:w="691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计费包、区域策略、井级策略、泵阀关系、泵肥关系、编排模板、告警规则、安全保护规则</w:t>
            </w:r>
          </w:p>
        </w:tc>
      </w:tr>
      <w:tr>
        <w:tc>
          <w:tcPr>
            <w:tcW w:type="dxa" w:w="170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任务与运行中心</w:t>
            </w:r>
          </w:p>
        </w:tc>
        <w:tc>
          <w:tcPr>
            <w:tcW w:type="dxa" w:w="691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灌溉任务、水肥任务、运行会话、命令记录、运行容器、手动测试</w:t>
            </w:r>
          </w:p>
        </w:tc>
      </w:tr>
      <w:tr>
        <w:tc>
          <w:tcPr>
            <w:tcW w:type="dxa" w:w="170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事件中心</w:t>
            </w:r>
          </w:p>
        </w:tc>
        <w:tc>
          <w:tcPr>
            <w:tcW w:type="dxa" w:w="691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订单、充值订单、结算、告警、消息、日志、审计</w:t>
            </w:r>
          </w:p>
        </w:tc>
      </w:tr>
      <w:tr>
        <w:tc>
          <w:tcPr>
            <w:tcW w:type="dxa" w:w="170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工单中心</w:t>
            </w:r>
          </w:p>
        </w:tc>
        <w:tc>
          <w:tcPr>
            <w:tcW w:type="dxa" w:w="691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工单、巡检、安装维护、售后处理、复验</w:t>
            </w:r>
          </w:p>
        </w:tc>
      </w:tr>
      <w:tr>
        <w:tc>
          <w:tcPr>
            <w:tcW w:type="dxa" w:w="170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系统中心</w:t>
            </w:r>
          </w:p>
        </w:tc>
        <w:tc>
          <w:tcPr>
            <w:tcW w:type="dxa" w:w="691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用户、角色、权限、菜单、数据范围、个性化、UAT、AI 服务配置</w:t>
            </w:r>
          </w:p>
        </w:tc>
      </w:tr>
    </w:tbl>
    <w:p>
      <w:pPr>
        <w:spacing w:after="80"/>
      </w:pPr>
    </w:p>
    <w:p>
      <w:pPr>
        <w:spacing w:before="200" w:after="100" w:line="264" w:lineRule="auto"/>
      </w:pPr>
      <w:r>
        <w:rPr>
          <w:rFonts w:ascii="Noto Sans CJK SC" w:hAnsi="Noto Sans CJK SC" w:eastAsia="Noto Sans CJK SC"/>
          <w:b/>
          <w:i w:val="0"/>
          <w:color w:val="2D6A4F"/>
          <w:sz w:val="30"/>
        </w:rPr>
        <w:t>8. 分阶段建设路线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8.1 Phase 0：架构冻结期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冻结 V1 范围与非范围。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输出对象模型、设备家族模型、拓扑关系模型、状态机、API 草案、表结构草案。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输出 /ops、/m、/u 三端页面清单与交互规则。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预留 AI 会话与渠道绑定模型，但不做深度开发。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8.2 Phase 1：灌溉最小闭环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角色权限、区域、设备类型、设备台账。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机井 / 泵 / 阀门基础对象与关系。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计费包、井级策略、泵阀关系。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扫码、启动校验、会话、订单、告警、工单、UAT。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/ops 管理后台主体、/m 运维移动端基础工单、/u 农户端基础扫码用水。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8.3 Phase 2：水肥一体化与 AI 服务 1.0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新增水肥机对象、能力、关系和泵肥关系。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支持顺序编排链：泵 → 水肥机 → 阀门。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建设水肥任务、清洗 / 回流等保护逻辑。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上线 App 内 AI 交流服务 1.0：FAQ、会话 / 订单查询、异常解释、转人工 / 工单。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移动端增强：设备巡检、现场拍照、定位、参数查看。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8.4 Phase 3：气象联动与多渠道 AI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接入气象设备、土壤 / 墒情设备和区域策略。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支持条件触发和风险预警。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接入微信和飞书渠道，构建统一会话中心和渠道适配器。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建立消息通知与群协同机制，支持服务团队与农户更高频的沟通。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8.5 Phase 4：农机与综合运营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接入农机装备台账、作业任务、作业记录与维护闭环。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补齐更完整的结算、经营分析、区域策略和协同运营。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8.6 Phase 5：高级智能化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智能水网、预测调度、AI 主动建议、复杂编排优化、3D / 大屏等。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134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阶段</w:t>
            </w:r>
          </w:p>
        </w:tc>
        <w:tc>
          <w:tcPr>
            <w:tcW w:type="dxa" w:w="2268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目标</w:t>
            </w:r>
          </w:p>
        </w:tc>
        <w:tc>
          <w:tcPr>
            <w:tcW w:type="dxa" w:w="5216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退出标准</w:t>
            </w:r>
          </w:p>
        </w:tc>
      </w:tr>
      <w:tr>
        <w:tc>
          <w:tcPr>
            <w:tcW w:type="dxa" w:w="113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Phase 0</w:t>
            </w:r>
          </w:p>
        </w:tc>
        <w:tc>
          <w:tcPr>
            <w:tcW w:type="dxa" w:w="2268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冻结模型</w:t>
            </w:r>
          </w:p>
        </w:tc>
        <w:tc>
          <w:tcPr>
            <w:tcW w:type="dxa" w:w="5216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模型、状态机、接口、终端与 AI 预留</w:t>
            </w:r>
          </w:p>
        </w:tc>
      </w:tr>
      <w:tr>
        <w:tc>
          <w:tcPr>
            <w:tcW w:type="dxa" w:w="113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Phase 1</w:t>
            </w:r>
          </w:p>
        </w:tc>
        <w:tc>
          <w:tcPr>
            <w:tcW w:type="dxa" w:w="2268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跑通灌溉主链</w:t>
            </w:r>
          </w:p>
        </w:tc>
        <w:tc>
          <w:tcPr>
            <w:tcW w:type="dxa" w:w="5216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配置 - 扫码 - 运行 - 订单 - 告警 - 工单 - UAT</w:t>
            </w:r>
          </w:p>
        </w:tc>
      </w:tr>
      <w:tr>
        <w:tc>
          <w:tcPr>
            <w:tcW w:type="dxa" w:w="113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Phase 2</w:t>
            </w:r>
          </w:p>
        </w:tc>
        <w:tc>
          <w:tcPr>
            <w:tcW w:type="dxa" w:w="2268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水肥 + AI 1.0</w:t>
            </w:r>
          </w:p>
        </w:tc>
        <w:tc>
          <w:tcPr>
            <w:tcW w:type="dxa" w:w="5216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顺序编排、水肥任务、App AI 对话</w:t>
            </w:r>
          </w:p>
        </w:tc>
      </w:tr>
      <w:tr>
        <w:tc>
          <w:tcPr>
            <w:tcW w:type="dxa" w:w="113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Phase 3</w:t>
            </w:r>
          </w:p>
        </w:tc>
        <w:tc>
          <w:tcPr>
            <w:tcW w:type="dxa" w:w="2268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气象 + 多渠道 AI</w:t>
            </w:r>
          </w:p>
        </w:tc>
        <w:tc>
          <w:tcPr>
            <w:tcW w:type="dxa" w:w="5216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区域策略、微信 / 飞书接入</w:t>
            </w:r>
          </w:p>
        </w:tc>
      </w:tr>
      <w:tr>
        <w:tc>
          <w:tcPr>
            <w:tcW w:type="dxa" w:w="113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Phase 4</w:t>
            </w:r>
          </w:p>
        </w:tc>
        <w:tc>
          <w:tcPr>
            <w:tcW w:type="dxa" w:w="2268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农机与综合运营</w:t>
            </w:r>
          </w:p>
        </w:tc>
        <w:tc>
          <w:tcPr>
            <w:tcW w:type="dxa" w:w="5216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农机任务、经营与服务闭环</w:t>
            </w:r>
          </w:p>
        </w:tc>
      </w:tr>
      <w:tr>
        <w:tc>
          <w:tcPr>
            <w:tcW w:type="dxa" w:w="113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Phase 5</w:t>
            </w:r>
          </w:p>
        </w:tc>
        <w:tc>
          <w:tcPr>
            <w:tcW w:type="dxa" w:w="2268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高级智能化</w:t>
            </w:r>
          </w:p>
        </w:tc>
        <w:tc>
          <w:tcPr>
            <w:tcW w:type="dxa" w:w="5216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智能水网、推荐与预测</w:t>
            </w:r>
          </w:p>
        </w:tc>
      </w:tr>
    </w:tbl>
    <w:p>
      <w:pPr>
        <w:spacing w:after="80"/>
      </w:pPr>
    </w:p>
    <w:p>
      <w:pPr>
        <w:spacing w:before="200" w:after="100" w:line="264" w:lineRule="auto"/>
      </w:pPr>
      <w:r>
        <w:rPr>
          <w:rFonts w:ascii="Noto Sans CJK SC" w:hAnsi="Noto Sans CJK SC" w:eastAsia="Noto Sans CJK SC"/>
          <w:b/>
          <w:i w:val="0"/>
          <w:color w:val="2D6A4F"/>
          <w:sz w:val="30"/>
        </w:rPr>
        <w:t>9. V1 范围冻结建议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9F2E7"/>
            <w:tcBorders>
              <w:left w:val="single" w:sz="10" w:color="AFCBB8"/>
              <w:top w:val="single" w:sz="10" w:color="AFCBB8"/>
              <w:right w:val="single" w:sz="10" w:color="AFCBB8"/>
              <w:bottom w:val="single" w:sz="10" w:color="AFCBB8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D6A4F"/>
                <w:sz w:val="21"/>
              </w:rPr>
              <w:t>V1 的唯一目标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20"/>
              </w:rPr>
              <w:t>让平台先具备“项目经理能配、农户能用、财务能看、设备管理员能修、UAT 能验”的能力，而不是一次性把所有想象中的平台能力做全。</w:t>
            </w:r>
          </w:p>
        </w:tc>
      </w:tr>
    </w:tbl>
    <w:p>
      <w:pPr>
        <w:spacing w:after="60"/>
      </w:pP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9.1 V1 必做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角色与权限、数据范围控制。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区域与地块基础对象。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设备类型、设备台账、机井 / 泵 / 阀门对象。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计费包、井级策略、泵阀关系。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扫码、启动校验、运行会话、订单、告警、工单、UAT。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/ops 主后台、/m 基础工单、/u 基础扫码与会话页。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9.2 V1 不做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不在 V1 做复杂智能水网、视频中心、3D、大屏、复杂预测算法。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不在 V1 上线完整微信 / 飞书 AI，多渠道 AI 放到 Phase 3。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不在 V1 把气象与农机做深，只预留对象与菜单位置。</w:t>
      </w:r>
    </w:p>
    <w:p>
      <w:pPr>
        <w:spacing w:before="200" w:after="100" w:line="264" w:lineRule="auto"/>
      </w:pPr>
      <w:r>
        <w:rPr>
          <w:rFonts w:ascii="Noto Sans CJK SC" w:hAnsi="Noto Sans CJK SC" w:eastAsia="Noto Sans CJK SC"/>
          <w:b/>
          <w:i w:val="0"/>
          <w:color w:val="2D6A4F"/>
          <w:sz w:val="30"/>
        </w:rPr>
        <w:t>10. 关键对象与状态机建议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531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7"/>
              </w:rPr>
              <w:t>对象</w:t>
            </w:r>
          </w:p>
        </w:tc>
        <w:tc>
          <w:tcPr>
            <w:tcW w:type="dxa" w:w="1587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7"/>
              </w:rPr>
              <w:t>中文</w:t>
            </w:r>
          </w:p>
        </w:tc>
        <w:tc>
          <w:tcPr>
            <w:tcW w:type="dxa" w:w="4082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7"/>
              </w:rPr>
              <w:t>职责</w:t>
            </w:r>
          </w:p>
        </w:tc>
        <w:tc>
          <w:tcPr>
            <w:tcW w:type="dxa" w:w="1984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7"/>
              </w:rPr>
              <w:t>典型状态</w:t>
            </w:r>
          </w:p>
        </w:tc>
      </w:tr>
      <w:tr>
        <w:tc>
          <w:tcPr>
            <w:tcW w:type="dxa" w:w="153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region / plot</w:t>
            </w:r>
          </w:p>
        </w:tc>
        <w:tc>
          <w:tcPr>
            <w:tcW w:type="dxa" w:w="158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区域 / 地块</w:t>
            </w:r>
          </w:p>
        </w:tc>
        <w:tc>
          <w:tcPr>
            <w:tcW w:type="dxa" w:w="408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作用范围、对象归属、权限边界、策略边界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enabled / disabled</w:t>
            </w:r>
          </w:p>
        </w:tc>
      </w:tr>
      <w:tr>
        <w:tc>
          <w:tcPr>
            <w:tcW w:type="dxa" w:w="153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device_type</w:t>
            </w:r>
          </w:p>
        </w:tc>
        <w:tc>
          <w:tcPr>
            <w:tcW w:type="dxa" w:w="158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设备类型</w:t>
            </w:r>
          </w:p>
        </w:tc>
        <w:tc>
          <w:tcPr>
            <w:tcW w:type="dxa" w:w="408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定义共性、默认能力、模板推荐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draft / active / archived</w:t>
            </w:r>
          </w:p>
        </w:tc>
      </w:tr>
      <w:tr>
        <w:tc>
          <w:tcPr>
            <w:tcW w:type="dxa" w:w="153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device_instance</w:t>
            </w:r>
          </w:p>
        </w:tc>
        <w:tc>
          <w:tcPr>
            <w:tcW w:type="dxa" w:w="158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设备实例</w:t>
            </w:r>
          </w:p>
        </w:tc>
        <w:tc>
          <w:tcPr>
            <w:tcW w:type="dxa" w:w="408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具体设备对象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offline / idle / running / alert / disabled</w:t>
            </w:r>
          </w:p>
        </w:tc>
      </w:tr>
      <w:tr>
        <w:tc>
          <w:tcPr>
            <w:tcW w:type="dxa" w:w="153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relation_edge</w:t>
            </w:r>
          </w:p>
        </w:tc>
        <w:tc>
          <w:tcPr>
            <w:tcW w:type="dxa" w:w="158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关系边</w:t>
            </w:r>
          </w:p>
        </w:tc>
        <w:tc>
          <w:tcPr>
            <w:tcW w:type="dxa" w:w="408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记录归属、供给、控制、编排、互斥关系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active / inactive</w:t>
            </w:r>
          </w:p>
        </w:tc>
      </w:tr>
      <w:tr>
        <w:tc>
          <w:tcPr>
            <w:tcW w:type="dxa" w:w="153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billing_package</w:t>
            </w:r>
          </w:p>
        </w:tc>
        <w:tc>
          <w:tcPr>
            <w:tcW w:type="dxa" w:w="158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计费包</w:t>
            </w:r>
          </w:p>
        </w:tc>
        <w:tc>
          <w:tcPr>
            <w:tcW w:type="dxa" w:w="408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定义收费口径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draft / active / expired</w:t>
            </w:r>
          </w:p>
        </w:tc>
      </w:tr>
      <w:tr>
        <w:tc>
          <w:tcPr>
            <w:tcW w:type="dxa" w:w="153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runtime_policy</w:t>
            </w:r>
          </w:p>
        </w:tc>
        <w:tc>
          <w:tcPr>
            <w:tcW w:type="dxa" w:w="158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井级 / 任务运行策略</w:t>
            </w:r>
          </w:p>
        </w:tc>
        <w:tc>
          <w:tcPr>
            <w:tcW w:type="dxa" w:w="408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定义阈值、并发、安全边界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draft / active</w:t>
            </w:r>
          </w:p>
        </w:tc>
      </w:tr>
      <w:tr>
        <w:tc>
          <w:tcPr>
            <w:tcW w:type="dxa" w:w="153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orchestration_template</w:t>
            </w:r>
          </w:p>
        </w:tc>
        <w:tc>
          <w:tcPr>
            <w:tcW w:type="dxa" w:w="158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编排模板</w:t>
            </w:r>
          </w:p>
        </w:tc>
        <w:tc>
          <w:tcPr>
            <w:tcW w:type="dxa" w:w="408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定义顺序、条件和节点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draft / active</w:t>
            </w:r>
          </w:p>
        </w:tc>
      </w:tr>
      <w:tr>
        <w:tc>
          <w:tcPr>
            <w:tcW w:type="dxa" w:w="153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run_session</w:t>
            </w:r>
          </w:p>
        </w:tc>
        <w:tc>
          <w:tcPr>
            <w:tcW w:type="dxa" w:w="158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运行会话</w:t>
            </w:r>
          </w:p>
        </w:tc>
        <w:tc>
          <w:tcPr>
            <w:tcW w:type="dxa" w:w="408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记录一次运行过程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pending / starting / running / ending / ended / failed</w:t>
            </w:r>
          </w:p>
        </w:tc>
      </w:tr>
      <w:tr>
        <w:tc>
          <w:tcPr>
            <w:tcW w:type="dxa" w:w="153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service_order</w:t>
            </w:r>
          </w:p>
        </w:tc>
        <w:tc>
          <w:tcPr>
            <w:tcW w:type="dxa" w:w="158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业务订单</w:t>
            </w:r>
          </w:p>
        </w:tc>
        <w:tc>
          <w:tcPr>
            <w:tcW w:type="dxa" w:w="408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记录计费或服务结果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created / charging / settled / closed / exception</w:t>
            </w:r>
          </w:p>
        </w:tc>
      </w:tr>
      <w:tr>
        <w:tc>
          <w:tcPr>
            <w:tcW w:type="dxa" w:w="153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alert_event</w:t>
            </w:r>
          </w:p>
        </w:tc>
        <w:tc>
          <w:tcPr>
            <w:tcW w:type="dxa" w:w="158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告警事件</w:t>
            </w:r>
          </w:p>
        </w:tc>
        <w:tc>
          <w:tcPr>
            <w:tcW w:type="dxa" w:w="408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记录异常与风险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new / acknowledged / resolved / closed</w:t>
            </w:r>
          </w:p>
        </w:tc>
      </w:tr>
      <w:tr>
        <w:tc>
          <w:tcPr>
            <w:tcW w:type="dxa" w:w="153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work_order</w:t>
            </w:r>
          </w:p>
        </w:tc>
        <w:tc>
          <w:tcPr>
            <w:tcW w:type="dxa" w:w="158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工单</w:t>
            </w:r>
          </w:p>
        </w:tc>
        <w:tc>
          <w:tcPr>
            <w:tcW w:type="dxa" w:w="408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记录处置过程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new / assigned / processing / review / done / closed</w:t>
            </w:r>
          </w:p>
        </w:tc>
      </w:tr>
      <w:tr>
        <w:tc>
          <w:tcPr>
            <w:tcW w:type="dxa" w:w="153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uat_case</w:t>
            </w:r>
          </w:p>
        </w:tc>
        <w:tc>
          <w:tcPr>
            <w:tcW w:type="dxa" w:w="158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验收项</w:t>
            </w:r>
          </w:p>
        </w:tc>
        <w:tc>
          <w:tcPr>
            <w:tcW w:type="dxa" w:w="408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记录角色验收状态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todo / blocked / passed / retest</w:t>
            </w:r>
          </w:p>
        </w:tc>
      </w:tr>
      <w:tr>
        <w:tc>
          <w:tcPr>
            <w:tcW w:type="dxa" w:w="1531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ai_session</w:t>
            </w:r>
          </w:p>
        </w:tc>
        <w:tc>
          <w:tcPr>
            <w:tcW w:type="dxa" w:w="1587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AI 对话会话</w:t>
            </w:r>
          </w:p>
        </w:tc>
        <w:tc>
          <w:tcPr>
            <w:tcW w:type="dxa" w:w="408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记录多渠道对话</w:t>
            </w:r>
          </w:p>
        </w:tc>
        <w:tc>
          <w:tcPr>
            <w:tcW w:type="dxa" w:w="198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7"/>
              </w:rPr>
              <w:t>active / handed_off / closed</w:t>
            </w:r>
          </w:p>
        </w:tc>
      </w:tr>
    </w:tbl>
    <w:p>
      <w:pPr>
        <w:spacing w:after="80"/>
      </w:pP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10.1 规则优先级建议写死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运行 / 收费 / 限流 / 安全的最终规则以“井级策略 / 任务策略”为最高优先级。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关系配置（泵阀关系、泵肥关系）高于通用模板。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场景模板是推荐值，不是最终真相源。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设备类型默认值只用于初始化和兜底，不能成为运行时最终裁决依据。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10.2 前后端边界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前端负责展示状态、收集参数、引导操作和呈现阻断原因。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后端负责裁决能否启动、何时开始计费、是否允许并发、是否触发保护链和是否应转工单。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AI 只通过受控工具层查询和发起服务动作，不直接越过策略层控制设备。</w:t>
      </w:r>
    </w:p>
    <w:p>
      <w:pPr>
        <w:spacing w:before="200" w:after="100" w:line="264" w:lineRule="auto"/>
      </w:pPr>
      <w:r>
        <w:rPr>
          <w:rFonts w:ascii="Noto Sans CJK SC" w:hAnsi="Noto Sans CJK SC" w:eastAsia="Noto Sans CJK SC"/>
          <w:b/>
          <w:i w:val="0"/>
          <w:color w:val="2D6A4F"/>
          <w:sz w:val="30"/>
        </w:rPr>
        <w:t>11. 研发落地工作流与分工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11.1 推荐的研发工作流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先冻结 Phase 0 输出：范围、模型、状态机、接口、菜单。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再由 Lovable 生成 /ops、/m、/u 的页面壳子与设计系统。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同时由 Codex 产出表结构、领域服务、接口、状态机与测试用例。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先打通 Phase 1 最小闭环，再继续水肥和 AI 服务。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每完成一个模块就做用例验收，不允许只凭页面“看起来差不多”就往下推进。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11.2 AI 工具分工建议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474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角色 / 工具</w:t>
            </w:r>
          </w:p>
        </w:tc>
        <w:tc>
          <w:tcPr>
            <w:tcW w:type="dxa" w:w="4762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负责内容</w:t>
            </w:r>
          </w:p>
        </w:tc>
        <w:tc>
          <w:tcPr>
            <w:tcW w:type="dxa" w:w="2154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重点</w:t>
            </w:r>
          </w:p>
        </w:tc>
      </w:tr>
      <w:tr>
        <w:tc>
          <w:tcPr>
            <w:tcW w:type="dxa" w:w="147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Codex</w:t>
            </w:r>
          </w:p>
        </w:tc>
        <w:tc>
          <w:tcPr>
            <w:tcW w:type="dxa" w:w="476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对象模型、状态机、数据库、接口、领域服务、测试用例、工程化整理</w:t>
            </w:r>
          </w:p>
        </w:tc>
        <w:tc>
          <w:tcPr>
            <w:tcW w:type="dxa" w:w="215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后端与可开发基线</w:t>
            </w:r>
          </w:p>
        </w:tc>
      </w:tr>
      <w:tr>
        <w:tc>
          <w:tcPr>
            <w:tcW w:type="dxa" w:w="147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Lovable</w:t>
            </w:r>
          </w:p>
        </w:tc>
        <w:tc>
          <w:tcPr>
            <w:tcW w:type="dxa" w:w="476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后台壳子、移动端壳子、页面结构、交互统一、视觉规范</w:t>
            </w:r>
          </w:p>
        </w:tc>
        <w:tc>
          <w:tcPr>
            <w:tcW w:type="dxa" w:w="215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产品与界面层</w:t>
            </w:r>
          </w:p>
        </w:tc>
      </w:tr>
      <w:tr>
        <w:tc>
          <w:tcPr>
            <w:tcW w:type="dxa" w:w="1474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人工主导</w:t>
            </w:r>
          </w:p>
        </w:tc>
        <w:tc>
          <w:tcPr>
            <w:tcW w:type="dxa" w:w="4762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范围冻结、优先级拍板、关键流程裁决、验收与上线决策</w:t>
            </w:r>
          </w:p>
        </w:tc>
        <w:tc>
          <w:tcPr>
            <w:tcW w:type="dxa" w:w="215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控制复杂度与避免发散</w:t>
            </w:r>
          </w:p>
        </w:tc>
      </w:tr>
    </w:tbl>
    <w:p>
      <w:pPr>
        <w:spacing w:after="80"/>
      </w:pP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11.3 先给 Codex 的任务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输出 V1 / Phase 2 的对象模型文档。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输出设备关系与编排模型文档。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输出状态机文档和异常矩阵。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输出 API 草案与表结构草案。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输出运行主链、工单主链、AI 会话主链的测试用例。</w:t>
      </w: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11.4 先给 Lovable 的任务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先做 7 个一级菜单和 V1 页面壳子，不要自动扩中心。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统一列表页、详情页、表单页、移动工单页、农户扫码页的设计规范。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预留 App 内 AI 入口、客服入口与历史对话入口，但先不要深做 AI 业务逻辑。</w:t>
      </w:r>
    </w:p>
    <w:p>
      <w:pPr>
        <w:spacing w:before="200" w:after="100" w:line="264" w:lineRule="auto"/>
      </w:pPr>
      <w:r>
        <w:rPr>
          <w:rFonts w:ascii="Noto Sans CJK SC" w:hAnsi="Noto Sans CJK SC" w:eastAsia="Noto Sans CJK SC"/>
          <w:b/>
          <w:i w:val="0"/>
          <w:color w:val="2D6A4F"/>
          <w:sz w:val="30"/>
        </w:rPr>
        <w:t>12. 建议的 12 周执行排期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247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时间</w:t>
            </w:r>
          </w:p>
        </w:tc>
        <w:tc>
          <w:tcPr>
            <w:tcW w:type="dxa" w:w="1814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目标</w:t>
            </w:r>
          </w:p>
        </w:tc>
        <w:tc>
          <w:tcPr>
            <w:tcW w:type="dxa" w:w="5329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主要交付</w:t>
            </w:r>
          </w:p>
        </w:tc>
      </w:tr>
      <w:tr>
        <w:tc>
          <w:tcPr>
            <w:tcW w:type="dxa" w:w="124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第 1-2 周</w:t>
            </w:r>
          </w:p>
        </w:tc>
        <w:tc>
          <w:tcPr>
            <w:tcW w:type="dxa" w:w="181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Phase 0 冻结</w:t>
            </w:r>
          </w:p>
        </w:tc>
        <w:tc>
          <w:tcPr>
            <w:tcW w:type="dxa" w:w="532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范围冻结、对象模型、关系模型、状态机、API 草案、菜单与页面清单</w:t>
            </w:r>
          </w:p>
        </w:tc>
      </w:tr>
      <w:tr>
        <w:tc>
          <w:tcPr>
            <w:tcW w:type="dxa" w:w="124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第 3-4 周</w:t>
            </w:r>
          </w:p>
        </w:tc>
        <w:tc>
          <w:tcPr>
            <w:tcW w:type="dxa" w:w="181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壳子与骨架</w:t>
            </w:r>
          </w:p>
        </w:tc>
        <w:tc>
          <w:tcPr>
            <w:tcW w:type="dxa" w:w="532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Lovable 出 /ops、/m、/u 壳子；Codex 出后端骨架与基础权限</w:t>
            </w:r>
          </w:p>
        </w:tc>
      </w:tr>
      <w:tr>
        <w:tc>
          <w:tcPr>
            <w:tcW w:type="dxa" w:w="124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第 5-6 周</w:t>
            </w:r>
          </w:p>
        </w:tc>
        <w:tc>
          <w:tcPr>
            <w:tcW w:type="dxa" w:w="181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对象层落地</w:t>
            </w:r>
          </w:p>
        </w:tc>
        <w:tc>
          <w:tcPr>
            <w:tcW w:type="dxa" w:w="532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区域、地块、设备类型、设备台账、机井 / 泵 / 阀门对象</w:t>
            </w:r>
          </w:p>
        </w:tc>
      </w:tr>
      <w:tr>
        <w:tc>
          <w:tcPr>
            <w:tcW w:type="dxa" w:w="124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第 7-8 周</w:t>
            </w:r>
          </w:p>
        </w:tc>
        <w:tc>
          <w:tcPr>
            <w:tcW w:type="dxa" w:w="181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规则层与执行层</w:t>
            </w:r>
          </w:p>
        </w:tc>
        <w:tc>
          <w:tcPr>
            <w:tcW w:type="dxa" w:w="532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计费包、井级策略、泵阀关系、扫码、会话、命令投递</w:t>
            </w:r>
          </w:p>
        </w:tc>
      </w:tr>
      <w:tr>
        <w:tc>
          <w:tcPr>
            <w:tcW w:type="dxa" w:w="124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第 9 周</w:t>
            </w:r>
          </w:p>
        </w:tc>
        <w:tc>
          <w:tcPr>
            <w:tcW w:type="dxa" w:w="181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事件闭环</w:t>
            </w:r>
          </w:p>
        </w:tc>
        <w:tc>
          <w:tcPr>
            <w:tcW w:type="dxa" w:w="532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订单、告警、工单、日志、UAT 初版</w:t>
            </w:r>
          </w:p>
        </w:tc>
      </w:tr>
      <w:tr>
        <w:tc>
          <w:tcPr>
            <w:tcW w:type="dxa" w:w="124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第 10 周</w:t>
            </w:r>
          </w:p>
        </w:tc>
        <w:tc>
          <w:tcPr>
            <w:tcW w:type="dxa" w:w="181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Phase 1 验收</w:t>
            </w:r>
          </w:p>
        </w:tc>
        <w:tc>
          <w:tcPr>
            <w:tcW w:type="dxa" w:w="532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项目经理 / 财务 / 设备管理员 / 农户四类角色验收</w:t>
            </w:r>
          </w:p>
        </w:tc>
      </w:tr>
      <w:tr>
        <w:tc>
          <w:tcPr>
            <w:tcW w:type="dxa" w:w="124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第 11 周</w:t>
            </w:r>
          </w:p>
        </w:tc>
        <w:tc>
          <w:tcPr>
            <w:tcW w:type="dxa" w:w="181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Phase 2 起步</w:t>
            </w:r>
          </w:p>
        </w:tc>
        <w:tc>
          <w:tcPr>
            <w:tcW w:type="dxa" w:w="532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水肥机模型、泵肥关系、App AI 服务 1.0 架构与知识库</w:t>
            </w:r>
          </w:p>
        </w:tc>
      </w:tr>
      <w:tr>
        <w:tc>
          <w:tcPr>
            <w:tcW w:type="dxa" w:w="124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第 12 周</w:t>
            </w:r>
          </w:p>
        </w:tc>
        <w:tc>
          <w:tcPr>
            <w:tcW w:type="dxa" w:w="1814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二轮修整</w:t>
            </w:r>
          </w:p>
        </w:tc>
        <w:tc>
          <w:tcPr>
            <w:tcW w:type="dxa" w:w="5329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修复阻塞项，准备进入水肥与 AI 阶段开发</w:t>
            </w:r>
          </w:p>
        </w:tc>
      </w:tr>
    </w:tbl>
    <w:p>
      <w:pPr>
        <w:spacing w:after="80"/>
      </w:pPr>
    </w:p>
    <w:p>
      <w:pPr>
        <w:spacing w:before="200" w:after="100" w:line="264" w:lineRule="auto"/>
      </w:pPr>
      <w:r>
        <w:rPr>
          <w:rFonts w:ascii="Noto Sans CJK SC" w:hAnsi="Noto Sans CJK SC" w:eastAsia="Noto Sans CJK SC"/>
          <w:b/>
          <w:i w:val="0"/>
          <w:color w:val="2D6A4F"/>
          <w:sz w:val="30"/>
        </w:rPr>
        <w:t>13. UAT 验收建议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252B34"/>
          <w:sz w:val="21"/>
        </w:rPr>
        <w:t>UAT 不是“功能能打开”就算通过，而是让真实角色走完自己的工作链。平台至少应覆盖以下验收对象。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587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角色</w:t>
            </w:r>
          </w:p>
        </w:tc>
        <w:tc>
          <w:tcPr>
            <w:tcW w:type="dxa" w:w="6803"/>
            <w:vAlign w:val="center"/>
            <w:shd w:fill="DCEDE2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4"/>
                <w:sz w:val="18"/>
              </w:rPr>
              <w:t>最低通过标准</w:t>
            </w:r>
          </w:p>
        </w:tc>
      </w:tr>
      <w:tr>
        <w:tc>
          <w:tcPr>
            <w:tcW w:type="dxa" w:w="158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项目经理</w:t>
            </w:r>
          </w:p>
        </w:tc>
        <w:tc>
          <w:tcPr>
            <w:tcW w:type="dxa" w:w="6803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能完成区域、设备、规则、关系、验收组织</w:t>
            </w:r>
          </w:p>
        </w:tc>
      </w:tr>
      <w:tr>
        <w:tc>
          <w:tcPr>
            <w:tcW w:type="dxa" w:w="158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财务</w:t>
            </w:r>
          </w:p>
        </w:tc>
        <w:tc>
          <w:tcPr>
            <w:tcW w:type="dxa" w:w="6803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能解释订单、金额、规则来源和异常原因</w:t>
            </w:r>
          </w:p>
        </w:tc>
      </w:tr>
      <w:tr>
        <w:tc>
          <w:tcPr>
            <w:tcW w:type="dxa" w:w="158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设备管理员</w:t>
            </w:r>
          </w:p>
        </w:tc>
        <w:tc>
          <w:tcPr>
            <w:tcW w:type="dxa" w:w="6803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能看状态、接工单、修复问题并回到复验</w:t>
            </w:r>
          </w:p>
        </w:tc>
      </w:tr>
      <w:tr>
        <w:tc>
          <w:tcPr>
            <w:tcW w:type="dxa" w:w="158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农户</w:t>
            </w:r>
          </w:p>
        </w:tc>
        <w:tc>
          <w:tcPr>
            <w:tcW w:type="dxa" w:w="6803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能扫码、能用、能结束、能看懂结果、遇事能找到帮助</w:t>
            </w:r>
          </w:p>
        </w:tc>
      </w:tr>
      <w:tr>
        <w:tc>
          <w:tcPr>
            <w:tcW w:type="dxa" w:w="1587"/>
            <w:vAlign w:val="center"/>
            <w:shd w:fill="EEF3F6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AI 服务</w:t>
            </w:r>
          </w:p>
        </w:tc>
        <w:tc>
          <w:tcPr>
            <w:tcW w:type="dxa" w:w="6803"/>
            <w:vAlign w:val="center"/>
            <w:tcBorders>
              <w:left w:val="single" w:sz="6" w:color="D9DEE4"/>
              <w:top w:val="single" w:sz="6" w:color="D9DEE4"/>
              <w:right w:val="single" w:sz="6" w:color="D9DEE4"/>
              <w:bottom w:val="single" w:sz="6" w:color="D9DEE4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18"/>
              </w:rPr>
              <w:t>能回答常见问题，能查会话 / 订单，复杂问题能转人工并留痕</w:t>
            </w:r>
          </w:p>
        </w:tc>
      </w:tr>
    </w:tbl>
    <w:p>
      <w:pPr>
        <w:spacing w:after="80"/>
      </w:pPr>
    </w:p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252B34"/>
          <w:sz w:val="25"/>
        </w:rPr>
        <w:t>13.1 AI 服务 UAT 样例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农户通过 App 询问“为什么我现在打不开阀门”，AI 能返回结构化原因，而不是泛泛回复。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农户通过微信询问“我上一单多少钱”，AI 能读取订单并说明计费依据。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农户通过飞书或群内提问时，AI 能在无法直接解决时发起人工服务或工单。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高风险指令被问到时，AI 不直接执行，而是说明原因或引导到受控入口。</w:t>
      </w:r>
    </w:p>
    <w:p>
      <w:pPr>
        <w:spacing w:before="200" w:after="100" w:line="264" w:lineRule="auto"/>
      </w:pPr>
      <w:r>
        <w:rPr>
          <w:rFonts w:ascii="Noto Sans CJK SC" w:hAnsi="Noto Sans CJK SC" w:eastAsia="Noto Sans CJK SC"/>
          <w:b/>
          <w:i w:val="0"/>
          <w:color w:val="2D6A4F"/>
          <w:sz w:val="30"/>
        </w:rPr>
        <w:t>14. 接下来 30 天的直接动作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把本方案定为本轮架构冻结底稿，只允许在评审会上修改，不允许边写边漂移。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先把 Phase 0 的 7 份产物补齐：范围、对象模型、关系模型、状态机、API、菜单清单、终端清单。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让 Lovable 先做后台 / 运维端 / 农户端的页面骨架；让 Codex 先做领域模型和接口。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不要先开发 AI 多渠道，不要先开发气象和农机深度能力；先把 Phase 1 主链打通。</w:t>
      </w:r>
    </w:p>
    <w:p>
      <w:pPr>
        <w:pStyle w:val="ListNumber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把 App 内 AI 入口和会话数据模型先留好，确保 Phase 2 能无缝接入。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9F2E7"/>
            <w:tcBorders>
              <w:left w:val="single" w:sz="10" w:color="AFCBB8"/>
              <w:top w:val="single" w:sz="10" w:color="AFCBB8"/>
              <w:right w:val="single" w:sz="10" w:color="AFCBB8"/>
              <w:bottom w:val="single" w:sz="10" w:color="AFCBB8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D6A4F"/>
                <w:sz w:val="21"/>
              </w:rPr>
              <w:t>最终建议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4"/>
                <w:sz w:val="20"/>
              </w:rPr>
              <w:t>这套平台现在最重要的不是继续加中心、加页面，而是把底层模型做泛化，把交互终端纳入总体设计，再按照阶段逐步兑现功能。农户 AI 交流服务必须纳入方案，但最优顺序是：先预留，再在 App 内验证，再扩到微信和飞书。这样既能保证主链落地，也不会把后续扩展做成返工。</w:t>
            </w:r>
          </w:p>
        </w:tc>
      </w:tr>
    </w:tbl>
    <w:p>
      <w:pPr>
        <w:spacing w:after="60"/>
      </w:pPr>
    </w:p>
    <w:p>
      <w:pPr>
        <w:spacing w:before="200" w:after="100" w:line="264" w:lineRule="auto"/>
      </w:pPr>
      <w:r>
        <w:rPr>
          <w:rFonts w:ascii="Noto Sans CJK SC" w:hAnsi="Noto Sans CJK SC" w:eastAsia="Noto Sans CJK SC"/>
          <w:b/>
          <w:i w:val="0"/>
          <w:color w:val="2D6A4F"/>
          <w:sz w:val="30"/>
        </w:rPr>
        <w:t>附：建议作为下一轮 AI 任务输入的主题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主题 1：后稷平台 Phase 0 范围冻结与对象模型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主题 2：设备拓扑关系与编排模板设计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主题 3：Phase 1 后台、移动端、农户端页面清单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主题 4：Phase 2 水肥机与 App AI 服务 1.0 设计</w:t>
      </w:r>
    </w:p>
    <w:p>
      <w:pPr>
        <w:pStyle w:val="ListBullet"/>
        <w:spacing w:after="40" w:line="300" w:lineRule="auto"/>
        <w:ind w:left="113"/>
      </w:pPr>
      <w:r>
        <w:rPr>
          <w:rFonts w:ascii="Noto Sans CJK SC" w:hAnsi="Noto Sans CJK SC" w:eastAsia="Noto Sans CJK SC"/>
          <w:b w:val="0"/>
          <w:i w:val="0"/>
          <w:color w:val="252B34"/>
          <w:sz w:val="20"/>
        </w:rPr>
        <w:t>主题 5：Phase 3 微信 / 飞书多渠道 AI 会话中心设计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Noto Sans CJK SC" w:hAnsi="Noto Sans CJK SC" w:eastAsia="Noto Sans CJK SC"/>
        <w:b w:val="0"/>
        <w:i w:val="0"/>
        <w:color w:val="5A626C"/>
        <w:sz w:val="17"/>
      </w:rPr>
      <w:t>内部方案稿 - 用于产品、研发、实施与 AI 协作对齐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Noto Sans CJK SC" w:hAnsi="Noto Sans CJK SC" w:eastAsia="Noto Sans CJK SC"/>
        <w:b w:val="0"/>
        <w:i w:val="0"/>
        <w:color w:val="5A626C"/>
        <w:sz w:val="17"/>
      </w:rPr>
      <w:t>后稷农事服务AI综合平台 · 深度版总体方案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