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  <w:jc w:val="center"/>
      </w:pPr>
      <w:r>
        <w:rPr>
          <w:rFonts w:ascii="Noto Sans CJK SC" w:hAnsi="Noto Sans CJK SC" w:eastAsia="Noto Sans CJK SC"/>
          <w:b/>
          <w:sz w:val="48"/>
        </w:rPr>
        <w:t>后稷灌溉 AI 运营系统</w:t>
      </w:r>
    </w:p>
    <w:p>
      <w:pPr>
        <w:spacing w:before="0" w:after="40" w:line="324" w:lineRule="auto"/>
        <w:jc w:val="center"/>
      </w:pPr>
      <w:r>
        <w:rPr>
          <w:rFonts w:ascii="Noto Sans CJK SC" w:hAnsi="Noto Sans CJK SC" w:eastAsia="Noto Sans CJK SC"/>
          <w:b/>
          <w:sz w:val="56"/>
        </w:rPr>
        <w:t>全局权限模型与授权方案</w:t>
      </w:r>
    </w:p>
    <w:p>
      <w:pPr>
        <w:spacing w:before="0" w:after="200" w:line="324" w:lineRule="auto"/>
        <w:jc w:val="center"/>
      </w:pPr>
      <w:r>
        <w:rPr>
          <w:rFonts w:ascii="Noto Sans CJK SC" w:hAnsi="Noto Sans CJK SC" w:eastAsia="Noto Sans CJK SC"/>
          <w:b w:val="0"/>
          <w:sz w:val="26"/>
        </w:rPr>
        <w:t>V1.1  |  面向区域、项目、站点的统一功能权限、数据权限与管理权限方案</w:t>
      </w:r>
    </w:p>
    <w:p>
      <w:pPr>
        <w:spacing w:before="0" w:after="240" w:line="324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日期：2026-03-25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1. 文档定位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本文件用于给灌溉运营系统提供一套可以直接落地到前端、后端、数据库和审计体系的统一权限模型。正式口径是：角色定义“能做什么”，授权范围定义“在哪些区域 / 项目 / 站点上做”，高风险动作必须单独授权与留痕。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2. 三层权限模型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权限层</w:t>
            </w:r>
          </w:p>
        </w:tc>
        <w:tc>
          <w:tcPr>
            <w:tcW w:type="dxa" w:w="6690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正式定义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功能权限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定义菜单、页面、按钮、接口动作，例如 site.read、project.update、session.execute、refund.approve、finance.export。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数据权限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定义当前用户能看到哪些 business_region、project、site subtree，以及是否需要脱敏。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管理权限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定义是否可为别人分配角色、修改范围、审批高风险动作、查看审计日志与导出记录。</w:t>
            </w:r>
          </w:p>
        </w:tc>
      </w:tr>
    </w:tbl>
    <w:p/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3. 授权范围骨架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范围类型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主对象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主要使用者</w:t>
            </w:r>
          </w:p>
        </w:tc>
        <w:tc>
          <w:tcPr>
            <w:tcW w:type="dxa" w:w="306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适用说明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运营区域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区域运营、区域财务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适合跨多个项目做统筹、统计与区域配置。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经营主体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项目管理员、项目财务、客服、投资者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收入、成本、利润、分账、消费都以项目为主口径。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site_subtree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站点子树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运维主管、巡检员、外包维保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适合现场作业、日志查看、工单处理与分片管理。</w:t>
            </w:r>
          </w:p>
        </w:tc>
      </w:tr>
    </w:tbl>
    <w:p/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4. 正式角色体系（建议一期）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58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角色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功能边界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推荐范围</w:t>
            </w:r>
          </w:p>
        </w:tc>
        <w:tc>
          <w:tcPr>
            <w:tcW w:type="dxa" w:w="260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备注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平台管理员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维护全局规则、角色模板、权限点、系统配置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全平台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高风险财务与原始日志明文建议再加二次授权。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区域运营者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区域内项目统筹、站点推进、区域看板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不直接承担所有项目财务审批。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项目配置、站点树、设备、计费、工单统筹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是单项目的经营与管理主责。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项目财务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充值退款审核、电费录入、利润分析、导出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不管理设备联动和站点拓扑。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运维主管 / 巡检员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巡检、工单、告警、设备排障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site_subtree / project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以现场为中心，按站点子树最合理。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客服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消费异常处理、退款提报、用户问题分类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默认只看必要的用户和会话信息。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投资者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查看项目经营摘要、分账报表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project（只限关联项目）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不具备编辑与执行能力。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消费者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扫码 / 刷卡 / 查询记录 / 问题反馈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自己的账号与会话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不感知后台联动与内部结构。</w:t>
            </w:r>
          </w:p>
        </w:tc>
      </w:tr>
    </w:tbl>
    <w:p/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5. 高风险权限必须单独拆出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grant：给别人分配角色或范围。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approve：审批退款、导出、批量控制、敏感信息查看。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export：导出财务、日志、用户明细。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execute：执行强制停泵、后台代启动、批量下发控制命令。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unmask：查看手机号、身份证、SIM 全量标识、设备密钥等敏感明文。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6. 数据过滤正式规则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模块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推荐过滤主键</w:t>
            </w:r>
          </w:p>
        </w:tc>
        <w:tc>
          <w:tcPr>
            <w:tcW w:type="dxa" w:w="4082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正式要求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 / 财务 / 分账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project_id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任何收入、成本、利润、投资分配明细都必须先按 project 过滤。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站点 / 资产 / 设备 / 告警 / 日志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project_id + site_id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支持 project 过滤，也支持按 site_subtree 向下透传。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区域统计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business_region_id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仅能返回当前授权区域内的聚合结果，不可绕过项目过滤返回全量明细。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用户 / 钱包 / 卡 / 会话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project_id + owner_user_id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客服和财务按项目过滤，消费者只能看自己数据。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AI 服务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继承调用者上下文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AI 不得越权读数；敏感字段默认脱敏。</w:t>
            </w:r>
          </w:p>
        </w:tc>
      </w:tr>
    </w:tbl>
    <w:p/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7. 建议数据库结构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表名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作用</w:t>
            </w:r>
          </w:p>
        </w:tc>
        <w:tc>
          <w:tcPr>
            <w:tcW w:type="dxa" w:w="4195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关键字段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auth_role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角色模板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code, name, role_type, is_system,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auth_permission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权限点目录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code, module, action, risk_level,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auth_role_permission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角色与权限点映射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role_id, permission_id, effect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auth_scope_grant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把角色授权给用户并限定范围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principal_id, role_id, scope_type, scope_id, valid_from, valid_to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auth_access_audit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访问与授权审计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user_id, permission_code, scope_type, scope_id, target_type, result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site_closure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站点子树查询支撑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ancestor_site_id, descendant_site_id, depth</w:t>
            </w:r>
          </w:p>
        </w:tc>
      </w:tr>
    </w:tbl>
    <w:p/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8. API 落地建议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/api/v1/auth/roles：角色模板维护。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/api/v1/auth/permissions：权限点目录查询。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/api/v1/auth/grants：查询、新增、收回用户范围授权。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/api/v1/auth/me/capabilities：给前端返回当前用户可见菜单、按钮和范围摘要。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/api/v1/auth/access-checks:batch：给列表页、批量操作页做服务端批量可用性判断。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/api/v1/auth/high-risk-approvals：导出、退款审批、批量控制审批。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9. 前端与交互建议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菜单和按钮可以依据 /me/capabilities 先做可见性裁剪，但所有真实限制仍以后端为准。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角色管理、授权记录、高风险审批、审计日志四类页面建议一期就预留后台入口。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越权访问详情页时，优先返回无权限页或掩蔽结果，而不是前端硬编码判断。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10. 测试与审计门槛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必须覆盖：越权查看、越权导出、越权退款审批、越权强制停泵、越权日志查看。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所有授权变更与高风险操作必须落 auth_access_audit。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至少验证 3 类角色 × 3 类范围 × 3 个核心模块（财务、运维、设备控制）的真实回归。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11. 本版结论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对于这套灌溉系统，权限不是后台附加页，而是决定项目经营、财务安全、运维效率和 AI 可控性的全局基座。正确做法不是让“区域 / 项目 / 站点”充当角色，而是让它们充当授权范围；不是把高风险动作混进普通编辑权限，而是把它们拆出来单独审批、单独审计。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