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/>
        <w:jc w:val="center"/>
      </w:pPr>
      <w:r>
        <w:rPr>
          <w:rFonts w:ascii="Noto Sans CJK SC" w:hAnsi="Noto Sans CJK SC" w:eastAsia="Noto Sans CJK SC"/>
          <w:b/>
          <w:i w:val="0"/>
          <w:color w:val="2E6B3F"/>
          <w:sz w:val="48"/>
        </w:rPr>
        <w:t>后稷农业服务 AI 运营系统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/>
          <w:i w:val="0"/>
          <w:color w:val="1F2933"/>
          <w:sz w:val="56"/>
        </w:rPr>
        <w:t>灌溉板块全景方案</w:t>
      </w:r>
    </w:p>
    <w:p>
      <w:pPr>
        <w:spacing w:after="120"/>
        <w:jc w:val="center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  <w:b w:val="0"/>
          <w:sz w:val="26"/>
        </w:rPr>
        <w:t>产品逻辑、前后端需求、一体化权限口径与一期实施建议（V1.2 权限整合版）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1E5"/>
            <w:tcBorders>
              <w:left w:val="single" w:sz="8" w:color="D9E3DD"/>
              <w:top w:val="single" w:sz="8" w:color="D9E3DD"/>
              <w:right w:val="single" w:sz="8" w:color="D9E3DD"/>
              <w:bottom w:val="single" w:sz="8" w:color="D9E3D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1"/>
              </w:rPr>
              <w:t>文档定位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D9E3DD"/>
              <w:top w:val="single" w:sz="8" w:color="D9E3DD"/>
              <w:right w:val="single" w:sz="8" w:color="D9E3DD"/>
              <w:bottom w:val="single" w:sz="8" w:color="D9E3DD"/>
            </w:tcBorders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用于冻结灌溉板块的产品主逻辑、对象模型、前后端范围与实施顺序。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C"/>
            <w:tcBorders>
              <w:left w:val="single" w:sz="8" w:color="D9E3DD"/>
              <w:top w:val="single" w:sz="8" w:color="D9E3DD"/>
              <w:right w:val="single" w:sz="8" w:color="D9E3DD"/>
              <w:bottom w:val="single" w:sz="8" w:color="D9E3D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1"/>
              </w:rPr>
              <w:t>适用范围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D9E3DD"/>
              <w:top w:val="single" w:sz="8" w:color="D9E3DD"/>
              <w:right w:val="single" w:sz="8" w:color="D9E3DD"/>
              <w:bottom w:val="single" w:sz="8" w:color="D9E3DD"/>
            </w:tcBorders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当前聚焦灌溉运营闭环，农机、农资、农服、乡村振兴等板块先预留接口与复用底座。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C"/>
            <w:tcBorders>
              <w:left w:val="single" w:sz="8" w:color="D9E3DD"/>
              <w:top w:val="single" w:sz="8" w:color="D9E3DD"/>
              <w:right w:val="single" w:sz="8" w:color="D9E3DD"/>
              <w:bottom w:val="single" w:sz="8" w:color="D9E3D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1"/>
              </w:rPr>
              <w:t>本次补充重点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D9E3DD"/>
              <w:top w:val="single" w:sz="8" w:color="D9E3DD"/>
              <w:right w:val="single" w:sz="8" w:color="D9E3DD"/>
              <w:bottom w:val="single" w:sz="8" w:color="D9E3DD"/>
            </w:tcBorders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强调“农户端极简操作”：农户只需扫码/刷卡与查看结果，联动链路、并发仲裁、计费结算均由后台统一编排。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C"/>
            <w:tcBorders>
              <w:left w:val="single" w:sz="12" w:color="B7CDBD"/>
              <w:top w:val="single" w:sz="12" w:color="B7CDBD"/>
              <w:right w:val="single" w:sz="12" w:color="B7CDBD"/>
              <w:bottom w:val="single" w:sz="12" w:color="B7CDBD"/>
            </w:tcBorders>
          </w:tcPr>
          <w:p>
            <w:pPr>
              <w:spacing w:after="80" w:before="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B3F"/>
                <w:sz w:val="23"/>
              </w:rPr>
              <w:t>一句话定义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以项目为经营主体，以站点树为现场骨架，以资产与设备为执行节点，以控制会话为消费与财务连接点，以工单与日志为运维支撑，以 AI 为服务增强层。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前台极简、后台复杂：农户界面极简化，所有联动、计费、异常与财务归集在后台完成。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B7280"/>
          <w:sz w:val="21"/>
        </w:rPr>
        <w:t>日期：2026-03-25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sz w:val="23"/>
        </w:rPr>
        <w:t>本版更新摘要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1"/>
        </w:rPr>
        <w:t>• 新增“功能权限 / 数据权限 / 管理权限”三分模型，并统一到项目经营、站点运维、财务与 AI 服务口径。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1"/>
        </w:rPr>
        <w:t>• 明确业务区域、项目、站点子树是数据与管理授权范围，不把它们当作角色本身。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1"/>
        </w:rPr>
        <w:t>• 补充高风险能力拆分：grant、approve、export、execute、unmask 必须单独授权与审计。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sz w:val="21"/>
        </w:rPr>
        <w:t>• 前端、后端、任务树均统一纳入权限要求，避免后期返工。</w:t>
      </w:r>
    </w:p>
    <w:p/>
    <w:p>
      <w:r>
        <w:br w:type="page"/>
      </w:r>
    </w:p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1. 总体定位与核心原则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本方案只聚焦灌溉板块，但所有模型与权限边界都按“可扩展到农机、农资、农服、乡村振兴”的方式设计。目标不是先做一个孤立的灌溉收费系统，而是先做一个可沉淀项目经营数据、现场运行数据、运维数据和 AI 服务数据的底座。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1E5"/>
            <w:tcBorders>
              <w:left w:val="single" w:sz="12" w:color="B7CDBD"/>
              <w:top w:val="single" w:sz="12" w:color="B7CDBD"/>
              <w:right w:val="single" w:sz="12" w:color="B7CDBD"/>
              <w:bottom w:val="single" w:sz="12" w:color="B7CDBD"/>
            </w:tcBorders>
          </w:tcPr>
          <w:p>
            <w:pPr>
              <w:spacing w:after="80" w:before="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B3F"/>
                <w:sz w:val="23"/>
              </w:rPr>
              <w:t>本阶段最重要的产品判断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项目是经营主体，所有收入、成本、利润、投资分配最终回到项目口径。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行政区划是真源，业务区域是运营边界；项目挂业务区域，站点保留物理行政位置。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站点树服务现场，资产树服务运维，成本中心服务财务，三者分工明确但通过统一 ID 体系关联。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控制会话是消费、设备动作、计费、财务和异常追溯的汇合点。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1.1 核心原则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项目是经营与核算主体，不以单设备或单用户作为最高财务主体。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前台极简、后台复杂：农户不需要理解联动逻辑、阀泵关系、计费细节，后台统一配置并执行。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行政区划是基础真源，业务区域是运营边界，不做长期兼容层堆叠。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站点统一定义为依托土地要素、可定位、可巡检、可运营的现场对象。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资产与设备能力分离建模：资产管生命周期，设备管连接、通信与控制。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成本中心独立建模，区分专用变压器与公用变压器场景。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先把灌溉闭环做深做稳，再把农机、农资、农服等板块复用接入。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1.2 农户端极简操作原则（本次新增重点）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农户使用系统时，界面和动作都必须极简：用户只关心“怎么开始用、现在是否在出水、用了多久、花了多少钱、剩余余额是多少、出问题找谁”。所有联动与编排逻辑必须被隐藏在后台。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维度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农户可见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后台统一负责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启动方式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扫码或刷卡，一键开始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解析二维码/卡号、识别项目/站点/控制器、校验余额与权限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联动逻辑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不展示泵阀关系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决定先开阀还是先启泵，计算联动顺序与回执校验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并发仲裁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不感知是否多人同时用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判断上游泵承载能力、互斥规则、并发允许条件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计费方式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只显示本次费用与规则摘要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匹配计费包、封顶规则、套餐抵扣、异常补扣补退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异常处理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收到明确提示：等待 / 失败 / 请报障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掉线兜底、自动结束、补偿结算、生成工单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老人友好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支持实体卡、代充值、少步骤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卡账户与钱包统一账务、代办充值、消费历史留痕</w:t>
            </w:r>
          </w:p>
        </w:tc>
      </w:tr>
    </w:tbl>
    <w:p/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2. 全景业务架构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系统的骨架不是单一页面，而是一套从区域、项目、站点、资产设备、控制会话、财务、运维到 AI 服务的完整经营体系。下面两张图分别说明“全景架构”和“站点层级与成本中心”的关系。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403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orama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0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B7280"/>
          <w:sz w:val="18"/>
        </w:rPr>
        <w:t>图 1  灌溉板块全景架构示意</w:t>
      </w:r>
    </w:p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567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6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B7280"/>
          <w:sz w:val="18"/>
        </w:rPr>
        <w:t>图 2  站点层级与成本归集示意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2.1 统一对象模型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建议采用“业务区域 → 项目 → 站点树 → 资产 / 设备 → 控制会话 → 财务流水 / 工单 / 日志”的主链路。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对象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主要作用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关键口径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说明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行政区划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基础真源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code / parent_code / level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来自官方标准数据，用于物理位置与统计口径，不直接承担复杂经营含义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业务区域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运营边界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business_region_id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作为项目挂载与权限控制的运营区域，可由多个行政区划组合形成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项目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经营主体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project_id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收入、成本、利润、投资分配、报表最终回到项目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站点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现场骨架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site_id / parent_site_id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变压器、机井、泵站、气象站、出水口、阀组等都统一建成站点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资产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运维口径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asset_id / asset_type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水泵、管道、弯头、控制器、太阳能板、电池等按资产管理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设备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通信控制口径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device_id / IMEI / SN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只有具备接入、遥测、控制能力的对象才进入设备域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卡与钱包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用户资金入口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wallet_id / card_id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支持扫码、刷卡、代充值、退款、调账、留痕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控制会话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交易汇合点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session_id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把用户动作、设备动作、计费、成本和异常结算统一到一次会话里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成本中心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财务归集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cost_center_id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专变先归集到变压器，公变直接归集到站点</w:t>
            </w:r>
          </w:p>
        </w:tc>
      </w:tr>
    </w:tbl>
    <w:p/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2.2 站点层级建议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L1：变压器站点（适用于专用变压器场景）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L2：机井站点 / 泵站站点 / 气象站点 / 农服中心站点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L3：出水口站点 / 阀组站点 / 水肥机子站点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站点保留物理位置与 region_reference.code；项目只挂 business_region_id。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站点树服务运营与巡检；成本中心负责电费归集，两者关联但不混做。</w:t>
      </w:r>
    </w:p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3. 五条业务主线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3.1 经营主线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项目建设完成后，农户通过扫码或刷卡使用灌溉服务，平台形成收入；平台同时沉淀电费、维修、领料、通信等成本，最终形成项目利润和投资分配。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3.2 设备控制主线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水泵控制器、电磁阀 / 电动阀控制器、水肥机、气象采集器等设备在后台形成控制拓扑。用户端不感知链路，只发起简单动作，后台负责联动。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3.3 运维主线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运维人员围绕站点与资产执行巡检、安装、上报、维修、领料、退料、故障排查和掉线分析，系统沉淀完整履历。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3.4 财务主线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财务围绕项目口径管理充值、消费、退款、月度电费、维修费用、备件成本和通信卡成本，并按项目、站点、时间、投资方等维度出报表。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3.5 AI 服务主线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消费者可用 AI 咨询使用与账单问题，运维人员可用 AI 快速定位故障，管理者可用 AI 查看经营分析与趋势。</w:t>
      </w:r>
    </w:p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4. 关键业务流程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流程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前端触点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后台关键动作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建设期建档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Web 管理端 / 运维移动端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导入行政区、建立业务区域、创建项目、构建站点树、安装资产设备、绑定 SIM 与二维码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扫码使用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扫码页 / 轻量页面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解析对象、校验余额、匹配计费、生成会话、下发联动指令、结束结算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刷卡使用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刷卡控制器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识别卡账户、校验余额、生成会话、写入消费流水与卡历史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联动控制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用户只看到“启动 / 结束”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按配置先开阀再启泵；按回执确认状态；多人并发时做仲裁与排队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月度电费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财务录入页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按成本中心归集；专变先归到变压器，再按规则分摊；公变直接归集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维修领料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工单 / 领料页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故障转工单、领料退料、资产更换履历、成本入账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AI 服务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AI 对话入口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问题归类、知识检索、自动答复或转人工 / 转工单</w:t>
            </w:r>
          </w:p>
        </w:tc>
      </w:tr>
    </w:tbl>
    <w:p/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4.1 控制会话：全系统最关键的连接点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一次扫码或刷卡不是单纯的控制指令，而是一条完整的控制会话。会话至少要记录：谁发起、作用于哪个控制器、对应哪个站点与项目、是否联动上游泵与阀门、运行时长、耗电、出水量、计费快照、成本、结束原因和结算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C"/>
            <w:tcBorders>
              <w:left w:val="single" w:sz="12" w:color="B7CDBD"/>
              <w:top w:val="single" w:sz="12" w:color="B7CDBD"/>
              <w:right w:val="single" w:sz="12" w:color="B7CDBD"/>
              <w:bottom w:val="single" w:sz="12" w:color="B7CDBD"/>
            </w:tcBorders>
          </w:tcPr>
          <w:p>
            <w:pPr>
              <w:spacing w:after="80" w:before="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B3F"/>
                <w:sz w:val="23"/>
              </w:rPr>
              <w:t>控制会话必须覆盖的场景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主动结束、异常结束、掉线结束、欠费结束、后台人工结束。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会话中途设备离线后，仍要能进行补扣、补退或人工复核。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同一上游泵服务多个阀门时，系统要支持并发会话，但必须受承载能力和互斥规则约束。</w:t>
            </w:r>
          </w:p>
        </w:tc>
      </w:tr>
    </w:tbl>
    <w:p>
      <w:pPr>
        <w:spacing w:after="40"/>
      </w:pPr>
    </w:p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5. 财务与成本口径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财务口径不是“只记收入”，而是“围绕项目形成完整经营账本”。系统需要同时具备收入账、成本账和分配账。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类别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子类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归集口径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说明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收入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充值 / 消费 / 套餐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项目 / 用户 / 会话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支持充值、退款、冲正、调账、消费历史查询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电费成本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专变 / 公变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成本中心 / 项目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专变先归到变压器再分摊；公变可直接归到站点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维修成本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工单维修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项目 / 资产 / 工单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维修人工、材料、备件均要可追溯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领料成本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备件领退料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项目 / 仓位 / 工单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建议一期先做成本入账，二期再做精细库存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通信成本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SIM 卡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设备 / 项目 / 月份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需查询状态、使用量、到期时间与异常情况</w:t>
            </w:r>
          </w:p>
        </w:tc>
      </w:tr>
    </w:tbl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5.1 投资者视角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每个项目需单独维护投资者与分配规则。投资者页面至少要能看到：项目收益摘要、应分配收益、已分配收益、未结算收益、周期趋势。自动分账可以后置，但口径必须一期就预留。</w:t>
      </w:r>
    </w:p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6. 前端需求全景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6.1 Web 管理端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基础主数据：行政区划、业务区域、项目、站点树、地图选点、资产台账、设备台账、SIM 卡管理、计费方案、投资分配规则。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消费与运营：用户中心、钱包与卡中心、充值退款中心、消费流水、控制会话记录、套餐管理。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财务中心：项目收入总览、电费成本录入、成本中心管理、维修费用台账、领料成本台账、通信卡成本台账、利润分析、投资者收益报表。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运维中心：巡检计划、工单中心、告警中心、设备在线监控、通信日志、电量与太阳能状态、资产履历。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管理驾驶舱：项目经营看板、站点运营看板、收入 / 成本 / 利润趋势、在线率、告警统计、投资回报。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6.2 移动端 - 消费者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扫码启动 / 结束、刷卡消费记录查询、余额查询、充值记录、退款申请、历史使用记录。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页面要极简，不暴露泵阀拓扑、联动关系、并发控制或技术参数。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异常提示要清晰：例如“正在启动”“余额不足”“设备暂不可用”“已为你生成报障单”。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为老年用户保留实体卡与代充值入口。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6.3 移动端 - 运维与管理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运维端：巡检任务、地图导航、手机选点建站、资产安装上报、更换维修上报、图片 / 视频上传、快速排障。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管理端：今日收入、关键项目摘要、异常告警、工单进度、关键设备在线状态。</w:t>
      </w:r>
    </w:p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7. 后端需求全景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一期建议采用“模块化单体 + 清晰领域边界”的方式建设，不急着拆微服务，但要先把对象模型、状态流转与规则引擎收紧。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后端模块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主要职责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关键说明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region / project / site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区域、项目、站点树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承载业务区域、项目经营主体和现场骨架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asset / device / sim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资产设备与通信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区分资产与设备；IMEI / SN 唯一；SIM 状态与流量管理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wallet / billing / session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钱包、计费、控制会话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扫码 / 刷卡 / 扣费 / 补扣补退 / 结算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finance / reporting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成本归集与报表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电费、维修、领料、通信成本与利润分析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workorder / inspection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巡检、工单、告警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现场运维流程闭环与责任留痕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telemetry / logs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遥测、日志、在线状态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心跳、控制指令、回执、掉线、供电、电量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ai service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AI 服务与分类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客服问答、运维诊断、工单归类、经营分析</w:t>
            </w:r>
          </w:p>
        </w:tc>
      </w:tr>
    </w:tbl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7.1 必须抽出的规则引擎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计费规则引擎：按时长 / 水量 / 电量 / 套餐 / 封顶 / 异常补偿。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联动控制规则引擎：先阀后泵、状态确认、多人并发、互斥逻辑、停泵策略。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成本分摊规则引擎：专变场景的月度成本分摊与追溯。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告警规则引擎：掉线、低电量、太阳能异常、阀门未到位、水泵异常、通信卡异常。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权限规则引擎：按业务区域、项目、站点树、模块与财务可见范围控制。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投资分配规则引擎：项目收益分配与周期结算。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7.2 关键后端难点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联动控制与并发会话不能写死在页面层，必须进入状态机与规则引擎。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扫码与刷卡要共用一套账务与会话口径，而不是两套独立账本。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设备掉线、异常停止、补扣补退都要保留审计线索。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资产、设备、站点三套对象必须保持 ID 关系一致，不允许长期兼容层漂移。</w:t>
      </w:r>
    </w:p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8. 数据与权限设计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权限主体建议至少包括：平台管理员、区域运营者、项目管理员、财务人员、运维人员、客服人员、投资者、消费者。默认以项目为经营隔离单元，平台层允许跨项目聚合。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角色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主要可见范围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典型动作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项目管理员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项目全量经营与现场数据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查看报表、维护主数据、跟踪工单、审核配置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财务人员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项目财务与结算数据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录入电费、退款调账、查看利润与月结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运维人员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授权站点与资产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巡检、维修、领料、日志排查、上报点位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投资者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与自己相关项目及分配报表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查看收益趋势、应分配、已结算、未结算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消费者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自己的钱包、卡、使用与报障记录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扫码 / 刷卡使用、查余额、查历史、咨询 AI</w:t>
            </w:r>
          </w:p>
        </w:tc>
      </w:tr>
    </w:tbl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9. 实施范围与路线图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9.1 一期必须完成（MVP）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行政区划与业务区域底座。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项目管理与站点树管理。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资产、设备、IMEI / SN / SIM 管理。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扫码 / 刷卡启动控制会话。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基础计费（建议先上按时长或按电量，再逐步扩到混合计费）。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钱包 / 卡充值 / 退款 / 消费流水。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电费录入与基础成本归集（建议一期先把公变跑通，专变分摊随后补上）。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巡检、工单、告警、设备在线日志。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9.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项目经营看板基础版。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9.2 一期后置但必须预留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复杂套餐、阶梯计费、封顶规则、专变自动分摊。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投资者自动分账与结算。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AI 经营分析、预测性维护、精细化库存。</w:t>
      </w:r>
    </w:p>
    <w:p>
      <w:pPr>
        <w:pStyle w:val="ListBullet"/>
        <w:spacing w:after="80" w:line="324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农机、农资、农服、乡村振兴板块复用接入。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9.3 推荐迭代节奏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阶段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目标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重点能力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结果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Phase 1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灌溉闭环打通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区域 / 项目 / 站点 / 资产设备 / 会话 / 钱包 / 工单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形成可运行的灌溉经营与运维闭环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Phase 1.5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财务深化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专变分摊 / 成本归集 / 利润分析 / 分账预留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让经营数据真正可用、可核算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Phase 2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AI 深化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客服、诊断、经营分析、工单智能归类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形成差异化服务能力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Phase 3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跨板块复用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农机 / 农资 / 农服接入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共享项目、用户、财务、工单、AI 底座</w:t>
            </w:r>
          </w:p>
        </w:tc>
      </w:tr>
    </w:tbl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10. 研发协同方案（Codex / Cursor / Lovable）</w:t>
      </w: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结合你的开发方式，推荐保持“规则层、实现层、页面层”三层协作，不让多个工具同时争抢同一类职责。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角色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主责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主要产出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7E8DA"/>
            <w:tcBorders>
              <w:left w:val="single" w:sz="8" w:color="B7CDBD"/>
              <w:top w:val="single" w:sz="8" w:color="B7CDBD"/>
              <w:right w:val="single" w:sz="8" w:color="B7CDBD"/>
              <w:bottom w:val="single" w:sz="8" w:color="B7CDBD"/>
            </w:tcBorders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边界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Codex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总调度 / 收口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领域模型、contract、任务拆解、PR review、验收标准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不长期承担主力写码，避免既当裁判又当运动员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Cursor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后端与核心逻辑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模型、规则引擎、状态机、API、测试、日志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主责 apps/api、services、tests，不主导视觉层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9"/>
          </w:tcPr>
          <w:p>
            <w:pPr>
              <w:spacing w:after="20" w:line="293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Lovable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前端与页面实现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Web 管理端、地图页、站点树、台账、看板、移动端骨架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93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主责 apps/web、packages/ui，不擅自改 contract 与核心后端逻辑</w:t>
            </w:r>
          </w:p>
        </w:tc>
      </w:tr>
    </w:tbl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1F2933"/>
          <w:sz w:val="25"/>
        </w:rPr>
        <w:t>10.1 先冻结的 8 个 contract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区域模型 contract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项目模型 contract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站点树 contract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资产 / 设备 / 控制器 contract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用户钱包 / 卡 contract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控制会话 contract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电费成本 / 成本中心 contract</w:t>
      </w:r>
    </w:p>
    <w:p>
      <w:pPr>
        <w:spacing w:after="70" w:line="312" w:lineRule="auto"/>
        <w:ind w:left="198" w:hanging="198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工单与告警 contract</w:t>
      </w:r>
    </w:p>
    <w:p>
      <w:pPr>
        <w:keepNext/>
        <w:spacing w:before="320" w:after="160"/>
      </w:pPr>
      <w:r>
        <w:rPr>
          <w:rFonts w:ascii="Noto Sans CJK SC" w:hAnsi="Noto Sans CJK SC" w:eastAsia="Noto Sans CJK SC"/>
          <w:b/>
          <w:i w:val="0"/>
          <w:color w:val="2E6B3F"/>
          <w:sz w:val="32"/>
        </w:rPr>
        <w:t>11. 最终结论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1E5"/>
            <w:tcBorders>
              <w:left w:val="single" w:sz="12" w:color="B7CDBD"/>
              <w:top w:val="single" w:sz="12" w:color="B7CDBD"/>
              <w:right w:val="single" w:sz="12" w:color="B7CDBD"/>
              <w:bottom w:val="single" w:sz="12" w:color="B7CDBD"/>
            </w:tcBorders>
          </w:tcPr>
          <w:p>
            <w:pPr>
              <w:spacing w:after="80" w:before="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6B3F"/>
                <w:sz w:val="23"/>
              </w:rPr>
              <w:t>结论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这套系统的正确建法，不是“设备管理系统 + 收费系统 + 工单系统”的拼接，而是以项目经营为核心的灌溉运营平台。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农户端必须极简：农户只看到最少动作；联动、计费、并发、异常、财务归集都由后台统一处理。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20"/>
              </w:rPr>
              <w:t>• 一期先把灌溉闭环跑通并把核心 contract 冻结，后续板块才能顺利复用。</w:t>
            </w:r>
          </w:p>
        </w:tc>
      </w:tr>
    </w:tbl>
    <w:p>
      <w:pPr>
        <w:spacing w:after="40"/>
      </w:pPr>
    </w:p>
    <w:p>
      <w:pPr>
        <w:spacing w:after="140" w:line="341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建议下一步紧接着输出两份文件：一份是《领域模型与表结构草案》，一份是《第一阶段开发任务树（Codex / Cursor / Lovable 分工版）》。这两份一旦冻结，研发就可以按分层协作正式开工。</w:t>
      </w:r>
    </w:p>
    <w:p>
      <w:r>
        <w:br w:type="page"/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12. 全局权限与授权边界（本版新增）</w:t>
      </w:r>
    </w:p>
    <w:p>
      <w:pPr>
        <w:spacing w:before="0" w:after="120" w:line="324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权限不是附属功能，而是整个灌溉运营平台的全局约束。项目、站点、财务、运维、日志、AI 服务都必须在同一套权限口径下运行。这里正式确定：角色负责定义“能做什么”，授权范围负责定义“在哪些区域 / 项目 / 站点上做”。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12.1 权限三分模型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权限层</w:t>
            </w:r>
          </w:p>
        </w:tc>
        <w:tc>
          <w:tcPr>
            <w:tcW w:type="dxa" w:w="680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正式口径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功能权限</w:t>
            </w:r>
          </w:p>
        </w:tc>
        <w:tc>
          <w:tcPr>
            <w:tcW w:type="dxa" w:w="680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决定是否可查看、创建、编辑、删除、审批、导出、执行控制、退款、关闭工单、查看日志、调用 AI 等动作。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数据权限</w:t>
            </w:r>
          </w:p>
        </w:tc>
        <w:tc>
          <w:tcPr>
            <w:tcW w:type="dxa" w:w="680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决定该角色能看到哪些 business_region、project、site subtree，以及能看到的数据颗粒度和是否脱敏。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管理权限</w:t>
            </w:r>
          </w:p>
        </w:tc>
        <w:tc>
          <w:tcPr>
            <w:tcW w:type="dxa" w:w="680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决定是否能够授权他人、调整范围、绑定角色、审批敏感操作、查看审计记录。</w:t>
            </w:r>
          </w:p>
        </w:tc>
      </w:tr>
    </w:tbl>
    <w:p/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12.2 授权范围三骨架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授权范围</w:t>
            </w:r>
          </w:p>
        </w:tc>
        <w:tc>
          <w:tcPr>
            <w:tcW w:type="dxa" w:w="1927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适用对象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典型用途</w:t>
            </w:r>
          </w:p>
        </w:tc>
        <w:tc>
          <w:tcPr>
            <w:tcW w:type="dxa" w:w="294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business_region</w:t>
            </w:r>
          </w:p>
        </w:tc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区域运营、区域财务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跨项目统筹、区域经营分析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适合区域级管理，但不能替代项目经营主体。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</w:t>
            </w:r>
          </w:p>
        </w:tc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项目经理、项目财务、客服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项目经营、财务、消费处理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项目仍然是收入、成本、利润、分配的核算主体。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site_subtree</w:t>
            </w:r>
          </w:p>
        </w:tc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运维主管、巡检员、外包维保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现场巡检、装维、日志排障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沿站点树向下生效，适合“只负责某片泵站或某批机井”的场景。</w:t>
            </w:r>
          </w:p>
        </w:tc>
      </w:tr>
    </w:tbl>
    <w:p/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12.3 正式角色与推荐范围组合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角色</w:t>
            </w:r>
          </w:p>
        </w:tc>
        <w:tc>
          <w:tcPr>
            <w:tcW w:type="dxa" w:w="249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默认功能边界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推荐授权范围</w:t>
            </w:r>
          </w:p>
        </w:tc>
        <w:tc>
          <w:tcPr>
            <w:tcW w:type="dxa" w:w="3061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不应具备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平台管理员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维护规则、角色、权限模板、全局配置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全平台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默认查看完整财务明细需额外开启。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区域运营者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区域项目统筹、站点推进、经营汇总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business_region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无权直接给自己追加高风险财务权限。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项目管理员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项目配置、站点树、设备、计费、工单统筹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不能越过授权去管理其他项目。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项目财务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充值退款审核、成本录入、利润查看、导出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不能修改设备联动与站点拓扑。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运维主管 / 巡检员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巡检、工单、设备排障、装维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site_subtree 或 project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不能查看完整投资分配与跨项目财务汇总。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客服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处理消费异常、退款申请、用户问题分流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不能直接执行高风险设备控制。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投资者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查看投资项目经营摘要、分账报表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project（只限关联项目）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不能编辑项目、站点、设备。</w:t>
            </w:r>
          </w:p>
        </w:tc>
      </w:tr>
    </w:tbl>
    <w:p/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12.4 这套权限对业务主线的影响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经营主线：收入、成本、利润、分账都必须按 project 过滤，区域汇总只能在服务端聚合后输出。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设备控制主线：execute_control、force_stop_session、override_rule 等动作必须单独鉴权并写审计日志。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运维主线：巡检、工单、日志、告警按 site subtree 过滤最实用，避免项目级权限过粗。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AI 服务主线：AI 只能读取调用者当前权限范围内的数据；财务、日志与个人信息需按脱敏规则返回。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12.5 管理端补充需求（必须纳入前端）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新增角色模板页：维护平台标准角色、可分配权限点、是否允许二次授权。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新增授权记录页：按用户查看被授予的 business_region、project、site subtree。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新增高风险审批页：导出、退款审批、强制结束会话、批量控制、解密查看敏感信息。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新增审计追踪页：谁在什么时间、以什么权限、在什么范围内执行了什么动作。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12.6 后端硬约束（必须一开始就做）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默认拒绝：后端在未命中角色、权限点、范围三者之前，一律拒绝访问。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服务端二次过滤：前端不能靠隐藏按钮代替鉴权，列表、详情、导出都必须在服务端按范围裁剪。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高风险权限单拆：grant、approve、export、execute、unmask 不可合并进普通查看或编辑权限。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日志必留痕：所有授权变更、导出、退款、强制控制、补扣补退都要入审计日志。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Noto Sans CJK SC" w:hAnsi="Noto Sans CJK SC" w:eastAsia="Noto Sans CJK SC"/>
        <w:b w:val="0"/>
        <w:i w:val="0"/>
        <w:color w:val="6B7280"/>
        <w:sz w:val="17"/>
      </w:rPr>
      <w:t>后稷农业服务 AI 运营系统 - 灌溉板块全景方案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后稷灌溉 AI 运营系统全景方案</dc:title>
  <dc:subject>产品逻辑、前后端需求与一期实施建议</dc:subject>
  <dc:creator>OpenAI</dc:creator>
  <cp:keywords/>
  <dc:description>Generated for planning and implementation</dc:description>
  <cp:lastModifiedBy/>
  <cp:revision>1</cp:revision>
  <dcterms:created xsi:type="dcterms:W3CDTF">2013-12-23T23:15:00Z</dcterms:created>
  <dcterms:modified xsi:type="dcterms:W3CDTF">2013-12-23T23:15:00Z</dcterms:modified>
  <cp:category>方案文档</cp:category>
</cp:coreProperties>
</file>