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4"/>
            <w:shd w:fill="EEF5EF"/>
            <w:tcBorders>
              <w:left w:sz="12" w:val="single" w:color="C6D7C8"/>
              <w:top w:sz="12" w:val="single" w:color="C6D7C8"/>
              <w:right w:sz="12" w:val="single" w:color="C6D7C8"/>
              <w:bottom w:sz="12" w:val="single" w:color="C6D7C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16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48"/>
              </w:rPr>
              <w:t>后稷灌溉 AI 运营系统</w:t>
            </w:r>
          </w:p>
          <w:p>
            <w:pPr>
              <w:spacing w:before="0" w:after="2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3F"/>
                <w:sz w:val="32"/>
              </w:rPr>
              <w:t>第一阶段开发任务树（Codex / Cursor / Lovable 分工版）</w:t>
            </w:r>
          </w:p>
          <w:p>
            <w:pPr>
              <w:pStyle w:val="SubtitleCustom"/>
              <w:spacing w:before="0" w:after="240" w:line="32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666666"/>
                <w:sz w:val="21"/>
              </w:rPr>
              <w:t>承接《全景方案》《领域模型与表结构草案》《API 清单与状态流转》</w:t>
              <w:br/>
              <w:t>将 Phase 1 任务拆到可执行、可验收、可排期层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677"/>
              <w:gridCol w:w="4677"/>
            </w:tblGrid>
            <w:tr>
              <w:tc>
                <w:tcPr>
                  <w:tcW w:type="dxa" w:w="1814"/>
                  <w:shd w:fill="DCEBDE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1F4E2D"/>
                      <w:sz w:val="19"/>
                    </w:rPr>
                    <w:t>版本</w:t>
                  </w:r>
                </w:p>
              </w:tc>
              <w:tc>
                <w:tcPr>
                  <w:tcW w:type="dxa" w:w="5556"/>
                  <w:shd w:fill="FFFFFF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9"/>
                    </w:rPr>
                    <w:t>V1.0</w:t>
                  </w:r>
                </w:p>
              </w:tc>
            </w:tr>
            <w:tr>
              <w:tc>
                <w:tcPr>
                  <w:tcW w:type="dxa" w:w="1814"/>
                  <w:shd w:fill="DCEBDE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1F4E2D"/>
                      <w:sz w:val="19"/>
                    </w:rPr>
                    <w:t>日期</w:t>
                  </w:r>
                </w:p>
              </w:tc>
              <w:tc>
                <w:tcPr>
                  <w:tcW w:type="dxa" w:w="5556"/>
                  <w:shd w:fill="FFFFFF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9"/>
                    </w:rPr>
                    <w:t>2026-03-25</w:t>
                  </w:r>
                </w:p>
              </w:tc>
            </w:tr>
            <w:tr>
              <w:tc>
                <w:tcPr>
                  <w:tcW w:type="dxa" w:w="1814"/>
                  <w:shd w:fill="DCEBDE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1F4E2D"/>
                      <w:sz w:val="19"/>
                    </w:rPr>
                    <w:t>适用范围</w:t>
                  </w:r>
                </w:p>
              </w:tc>
              <w:tc>
                <w:tcPr>
                  <w:tcW w:type="dxa" w:w="5556"/>
                  <w:shd w:fill="FFFFFF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9"/>
                    </w:rPr>
                    <w:t>灌溉板块 Phase 1（先经营闭环，后横向扩展）</w:t>
                  </w:r>
                </w:p>
              </w:tc>
            </w:tr>
            <w:tr>
              <w:tc>
                <w:tcPr>
                  <w:tcW w:type="dxa" w:w="1814"/>
                  <w:shd w:fill="DCEBDE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SC" w:hAnsi="Noto Sans CJK SC" w:eastAsia="Noto Sans CJK SC"/>
                      <w:b/>
                      <w:color w:val="1F4E2D"/>
                      <w:sz w:val="19"/>
                    </w:rPr>
                    <w:t>核心原则</w:t>
                  </w:r>
                </w:p>
              </w:tc>
              <w:tc>
                <w:tcPr>
                  <w:tcW w:type="dxa" w:w="5556"/>
                  <w:shd w:fill="FFFFFF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222222"/>
                      <w:sz w:val="19"/>
                    </w:rPr>
                    <w:t>农户端极简操作；联动全部后台统一配置；项目作为经营主体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4"/>
            <w:shd w:fill="FFF4DF"/>
            <w:tcBorders>
              <w:left w:sz="10" w:val="single" w:color="C9D9CB"/>
              <w:top w:sz="10" w:val="single" w:color="C9D9CB"/>
              <w:right w:sz="10" w:val="single" w:color="C9D9CB"/>
              <w:bottom w:sz="10" w:val="single" w:color="C9D9C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Title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1F4E2D"/>
                <w:sz w:val="21"/>
              </w:rPr>
              <w:t>本阶段的产品红线</w:t>
            </w:r>
          </w:p>
          <w:p>
            <w:pPr>
              <w:pStyle w:val="BodyTextCustom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农户端只看到“扫、刷、启、停、查余额、看记录、问 AI”这类极简动作；水泵—阀门—水肥机—供水支路的联动链、互斥规则、并发规则、计费与补偿逻辑全部由后台统一配置、统一执行、统一审计。</w:t>
            </w:r>
          </w:p>
        </w:tc>
      </w:tr>
    </w:tbl>
    <w:p>
      <w:pPr>
        <w:spacing w:before="0" w:after="40"/>
      </w:pP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一、文档定位与使用方式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本文件不是概念方案，而是 Phase 1 的开发排产底稿。所有任务都按“能否拆给 Codex / Cursor / Lovable 执行并验收”来编排。</w:t>
      </w:r>
    </w:p>
    <w:p>
      <w:pPr>
        <w:spacing w:before="80" w:after="80"/>
      </w:pPr>
      <w:r>
        <w:rPr>
          <w:rFonts w:ascii="Noto Sans CJK SC" w:hAnsi="Noto Sans CJK SC" w:eastAsia="Noto Sans CJK SC"/>
          <w:b/>
          <w:sz w:val="23"/>
        </w:rPr>
        <w:t>本版新增摘要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1"/>
        </w:rPr>
        <w:t>• 把权限模型提升为 P0 必做项，不再后置。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1"/>
        </w:rPr>
        <w:t>• 新增角色模板、权限点、范围授权、审计与高风险审批任务。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sz w:val="21"/>
        </w:rPr>
        <w:t>• 前端、后端、测试、发布门槛全部补入权限回归要求。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先做灌溉板块主干：区域、项目、站点、资产、设备、消费会话、计费、钱包/卡、运维、财务、日志、告警。农机、农资、农服、乡村振兴先预留接口与对象扩展位。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本任务树默认采用“模块化单体 + 冻结 contract + PR 收口 + CI 准入”的实施方式，不做长期兼容层和双口径方案。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输入文件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《全景方案》《领域模型与表结构草案》《API 清单与状态流转》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输出目标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形成可以直接进入研发执行的任务分解、分工边界、依赖关系与验收口径。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默认协作模式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Codex 管规则/拆解/评审；Cursor 管后端/核心逻辑/测试；Lovable 管 Web 管理端与移动端页面骨架。</w:t>
            </w:r>
          </w:p>
        </w:tc>
      </w:tr>
    </w:tbl>
    <w:p>
      <w:pPr>
        <w:spacing w:before="0" w:after="40"/>
      </w:pP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二、全局约束、冻结顺序与角色边界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4"/>
            <w:shd w:fill="EEF5EF"/>
            <w:tcBorders>
              <w:left w:sz="10" w:val="single" w:color="C9D9CB"/>
              <w:top w:sz="10" w:val="single" w:color="C9D9CB"/>
              <w:right w:sz="10" w:val="single" w:color="C9D9CB"/>
              <w:bottom w:sz="10" w:val="single" w:color="C9D9C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Title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1F4E2D"/>
                <w:sz w:val="21"/>
              </w:rPr>
              <w:t>必须先冻结的 8 个 contract</w:t>
            </w:r>
          </w:p>
          <w:p>
            <w:pPr>
              <w:pStyle w:val="BodyTextCustom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1）业务区域；2）项目；3）站点树；4）资产 / 设备 / 控制器；5）用户钱包 / 实体卡；6）控制会话；7）电费成本中心；8）工单 / 告警。所有前端页面与后端 API 均以这 8 个 contract 为第一真源。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EF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区域口径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行政区划为 region_reference 真源；业务区域由 Region 页面纳入形成；Project 只挂 business_region_uuid；站点只保留 physical region_reference.code。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EF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归属口径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Project 是经营与核算主体；Asset 的业务归属只认 project_id；Site 是现场与运维骨架。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EF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设备口径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4G 控制设备唯一标识 = IMEI；非 4G 辅助设备唯一标识 = 芯片 SN；SIM 卡独立纳管并与设备绑定。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EF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交互口径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农户侧极简；联动、互斥、并发、补扣补退、异常结束全部后台统一计算。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rPr>
          <w:tblHeader w:val="true"/>
        </w:trPr>
        <w:tc>
          <w:tcPr>
            <w:tcW w:type="dxa" w:w="1814"/>
            <w:vAlign w:val="center"/>
            <w:shd w:fill="DCEBD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事项</w:t>
            </w:r>
          </w:p>
        </w:tc>
        <w:tc>
          <w:tcPr>
            <w:tcW w:type="dxa" w:w="1191"/>
            <w:vAlign w:val="center"/>
            <w:shd w:fill="DCEBD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Codex</w:t>
            </w:r>
          </w:p>
        </w:tc>
        <w:tc>
          <w:tcPr>
            <w:tcW w:type="dxa" w:w="1191"/>
            <w:vAlign w:val="center"/>
            <w:shd w:fill="DCEBD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Cursor</w:t>
            </w:r>
          </w:p>
        </w:tc>
        <w:tc>
          <w:tcPr>
            <w:tcW w:type="dxa" w:w="1191"/>
            <w:vAlign w:val="center"/>
            <w:shd w:fill="DCEBD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Lovable</w:t>
            </w:r>
          </w:p>
        </w:tc>
        <w:tc>
          <w:tcPr>
            <w:tcW w:type="dxa" w:w="3402"/>
            <w:vAlign w:val="center"/>
            <w:shd w:fill="DCEBD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规则冻结 / 任务拆解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主责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协作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协作</w:t>
            </w:r>
          </w:p>
        </w:tc>
        <w:tc>
          <w:tcPr>
            <w:tcW w:type="dxa" w:w="340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你负责拍板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领域模型 / API / 状态机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验收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主责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知会</w:t>
            </w:r>
          </w:p>
        </w:tc>
        <w:tc>
          <w:tcPr>
            <w:tcW w:type="dxa" w:w="340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你负责边界裁定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Web 管理端 / 移动端页面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验收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联调修复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主责</w:t>
            </w:r>
          </w:p>
        </w:tc>
        <w:tc>
          <w:tcPr>
            <w:tcW w:type="dxa" w:w="340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你负责业务确认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联动控制 / 计费 / 结算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验收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主责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只消费接口</w:t>
            </w:r>
          </w:p>
        </w:tc>
        <w:tc>
          <w:tcPr>
            <w:tcW w:type="dxa" w:w="340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你负责规则确认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PR review / 验收清单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主责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配合</w:t>
            </w:r>
          </w:p>
        </w:tc>
        <w:tc>
          <w:tcPr>
            <w:tcW w:type="dxa" w:w="1191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配合</w:t>
            </w:r>
          </w:p>
        </w:tc>
        <w:tc>
          <w:tcPr>
            <w:tcW w:type="dxa" w:w="3402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你负责最终 merge</w:t>
            </w:r>
          </w:p>
        </w:tc>
      </w:tr>
    </w:tbl>
    <w:p>
      <w:pPr>
        <w:spacing w:before="0" w:after="40"/>
      </w:pP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三、阶段总览与建议节奏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rPr>
          <w:tblHeader w:val="true"/>
        </w:trPr>
        <w:tc>
          <w:tcPr>
            <w:tcW w:type="dxa" w:w="964"/>
            <w:shd w:fill="DCEB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阶段</w:t>
            </w:r>
          </w:p>
        </w:tc>
        <w:tc>
          <w:tcPr>
            <w:tcW w:type="dxa" w:w="2268"/>
            <w:shd w:fill="DCEB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目标</w:t>
            </w:r>
          </w:p>
        </w:tc>
        <w:tc>
          <w:tcPr>
            <w:tcW w:type="dxa" w:w="1814"/>
            <w:shd w:fill="DCEB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主责</w:t>
            </w:r>
          </w:p>
        </w:tc>
        <w:tc>
          <w:tcPr>
            <w:tcW w:type="dxa" w:w="1247"/>
            <w:shd w:fill="DCEB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建议节奏</w:t>
            </w:r>
          </w:p>
        </w:tc>
        <w:tc>
          <w:tcPr>
            <w:tcW w:type="dxa" w:w="3061"/>
            <w:shd w:fill="DCEB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20"/>
              </w:rPr>
              <w:t>关键输出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治理与真源收口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 1 周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规则文件、contract 清单、仓库边界、CI 基线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区域 / 项目 / 站点 / 资产主干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 + Lovable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 1-2 周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主数据模型、站点树、地图页、资产台账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设备接入、遥测、SIM 与日志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 2-3 周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设备注册、心跳、在线状态、SIM 台账、日志查询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扫码 / 刷卡 / 会话 / 计费 / 钱包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 + Lovable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 3-5 周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消费闭环、会话状态机、基础计费、充值退款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工单、巡检、告警、运维闭环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 + Lovable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 5-6 周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工单流转、巡检、告警中心、资产履历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财务归集与经营看板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 + Lovable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 6-7 周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电费录入、成本中心、收入/成本/利润看板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P6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 辅助与上线稳态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 + Cursor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 7-8 周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 客服入口、排障辅助、灰度上线、回滚预案</w:t>
            </w:r>
          </w:p>
        </w:tc>
      </w:tr>
    </w:tbl>
    <w:p>
      <w:pPr>
        <w:spacing w:before="0" w:after="40"/>
      </w:pP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建议先只把“公变 + 基础计费 + 简单工单 + 基础报表”跑通，再上专变分摊、套餐、自动分账和更深的 AI。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联动控制先支持“阀先开、泵后开；支路结束先关阀，无支路再停泵”的基础策略；复杂排程和能力模型放到第二阶段。</w:t>
      </w: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四、分阶段开发任务树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4"/>
            <w:shd w:fill="EAF2FB"/>
            <w:tcBorders>
              <w:left w:sz="10" w:val="single" w:color="C9D9CB"/>
              <w:top w:sz="10" w:val="single" w:color="C9D9CB"/>
              <w:right w:sz="10" w:val="single" w:color="C9D9CB"/>
              <w:bottom w:sz="10" w:val="single" w:color="C9D9C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Title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1F4E2D"/>
                <w:sz w:val="21"/>
              </w:rPr>
              <w:t>如何阅读下面的任务表</w:t>
            </w:r>
          </w:p>
          <w:p>
            <w:pPr>
              <w:pStyle w:val="BodyTextCustom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任务表按“阶段目标—任务项—主责—关键输出—依赖—验收口径”展开。一个任务只有一个主责执行器；跨边界修改必须在 PR 描述中说明原因，且由 Codex 评审收口。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100" w:line="264" w:lineRule="auto"/>
      </w:pPr>
      <w:r>
        <w:rPr>
          <w:rFonts w:ascii="Noto Sans CJK SC" w:hAnsi="Noto Sans CJK SC" w:eastAsia="Noto Sans CJK SC"/>
          <w:b/>
          <w:color w:val="2F6B3F"/>
          <w:sz w:val="25"/>
        </w:rPr>
        <w:t>P0｜治理与真源收口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目标：把所有后续研发都依附到同一套规则源、目录边界、contract 冻结顺序和验收门槛上。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输出根级 AGENTS.md 与子目录规则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根规则、apps/api 规则、apps/web 规则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无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目录边界清晰；禁止项明确；PR review 可直接引用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编写 .cursor/rules 首批规则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backend-owner.mdc、frontend-readonly.mdc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 进入任务时不会误改前端或 contract 冻结区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编写 Lovable workspace / project knowledge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前端允许目录、禁改目录、UI 规范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 只改 apps/web 与 packages/ui，且先 Plan 后 Agent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冻结首批 8 个 contract 目录与模板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contracts 草案、字段命名规范、状态枚举规范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后续任务引用同一套 contract，不出现双口径字段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配置 CI 最低准入门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lint / typecheck / test / build 流程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main 分支必须通过 CI 才允许 merge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100" w:line="264" w:lineRule="auto"/>
      </w:pPr>
      <w:r>
        <w:rPr>
          <w:rFonts w:ascii="Noto Sans CJK SC" w:hAnsi="Noto Sans CJK SC" w:eastAsia="Noto Sans CJK SC"/>
          <w:b/>
          <w:color w:val="2F6B3F"/>
          <w:sz w:val="25"/>
        </w:rPr>
        <w:t>P1｜区域、项目、站点树与资产主干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目标：建立经营主体、现场骨架和资产台账三大基础层。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行政区真源与业务区域模型落库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region_reference、business_region 模型与 API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项目只能绑定 business_region_uuid；区域引用链可查询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项目模型与项目详情页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 模型、API、列表/详情 DTO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项目可查看状态、经营属性、默认计费方案入口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 管理前端收口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项目列表、详情抽屉、创建/编辑表单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只消费 /regions/options 等冻结接口；无 region_id 历史写法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站点树模型与地图字段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site、site_hierarchy、site_type、地理坐标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 L1/L2/L3 层级；站点只保留 region_reference.code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站点树页 + 地图页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树视图、列表视图、地图视图、手机选点回显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新建站点顺滑；上下级关系和物理位置可视化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P1-06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资产模型与资产台账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asset、asset_type、asset_status、履历基础表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asset 业务归属只认 project_id；可绑定 site_id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P1-07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资产台账前端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资产列表、详情、安装/拆除/更换记录页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P1-06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资产履历完整；无手写兼容字段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100" w:line="264" w:lineRule="auto"/>
      </w:pPr>
      <w:r>
        <w:rPr>
          <w:rFonts w:ascii="Noto Sans CJK SC" w:hAnsi="Noto Sans CJK SC" w:eastAsia="Noto Sans CJK SC"/>
          <w:b/>
          <w:color w:val="2F6B3F"/>
          <w:sz w:val="25"/>
        </w:rPr>
        <w:t>P2｜设备接入、遥测、SIM 与日志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目标：把“资产”与“设备通信能力”分开，建立在线状态、心跳、日志和 SIM 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设备与控制器模型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device、controller、device_binding、唯一索引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P1-06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IMEI / SN 唯一约束生效；设备可挂接到站点与资产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SIM 卡模型与第三方接口适配层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sim_card、operator、usage_snapshot、provider_adapter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可查状态、流量、到期；卡与设备双向绑定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心跳与状态上报 API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register / heartbeat / status / ack 接口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在线/离线状态准确；last_seen、signal、电量可更新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设备通信日志与审计日志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telemetry_log、control_log、api_log、audit_log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P2-03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支持按设备、站点、项目、时间过滤查询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设备台账与在线监控页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设备列表、详情、在线状态、日志入口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运维人员可快速定位掉线设备与通信异常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P2-06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SIM 管理页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SIM 列表、状态、流量、到期预警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可从项目和设备双视角查看 SIM 信息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100" w:line="264" w:lineRule="auto"/>
      </w:pPr>
      <w:r>
        <w:rPr>
          <w:rFonts w:ascii="Noto Sans CJK SC" w:hAnsi="Noto Sans CJK SC" w:eastAsia="Noto Sans CJK SC"/>
          <w:b/>
          <w:color w:val="2F6B3F"/>
          <w:sz w:val="25"/>
        </w:rPr>
        <w:t>P3｜扫码 / 刷卡 / 控制会话 / 计费 / 钱包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目标：形成最核心的经营闭环。农户端保持极简，只暴露“用水/停用/看记录/查余额”能力。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用户、钱包、实体卡模型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user_account、wallet、wallet_txn、card_account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支持充值、退款、代充值、冻结余额与卡状态管理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扫码解析与刷卡校验接口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scan-resolve、card-validate、qr_binding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可识别控制器、站点、项目、计费方案与可用性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联动规则配置模型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control_linkage_rule、mutual_exclusion_rule、ability_profile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联动链和互斥规则全在后台配置，不出现在农户端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控制会话状态机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session、session_event、session_charge_snapshot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P3-02/P3-03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 created / running / ending / settled / failed / compensated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基础计费引擎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按时长 / 按电量计费、最低消费、异常结束补扣补退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可生成 revenue_amount、cost_seed、charge_detail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P3-06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充值、退款、消费流水前端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钱包页、卡页、流水页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P3-01/P3-05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账务记录可追溯；冲正与退款状态清晰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P3-07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农户端极简操作页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扫码后启动页、运行中页、结束页、历史记录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P3-02/P3-04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页面不展示联动细节，只展示结果、余额、状态与简单提示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P3-08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会话记录与运营查询页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会话列表、详情、异常标记、结束原因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P3-04/P3-05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管理端可按项目、站点、设备、用户检索会话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100" w:line="264" w:lineRule="auto"/>
      </w:pPr>
      <w:r>
        <w:rPr>
          <w:rFonts w:ascii="Noto Sans CJK SC" w:hAnsi="Noto Sans CJK SC" w:eastAsia="Noto Sans CJK SC"/>
          <w:b/>
          <w:color w:val="2F6B3F"/>
          <w:sz w:val="25"/>
        </w:rPr>
        <w:t>P4｜工单、巡检、告警与运维闭环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目标：让巡检、故障处理、领料更换与日志排障能够闭环。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告警规则与告警模型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alarm_rule、alarm_event、ack / resolve 机制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P2-03/P2-04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支持掉线、低电量、太阳能异常、阀未到位等告警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工单模型与状态流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workorder、workorder_step、assignee、result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支持故障、巡检、安装、更换、领料、退料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巡检任务与移动上报接口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inspection_plan、task、geo check-in、photo payload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P1-05/P4-02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移动端可提交位置、照片、结论与问题标签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工单中心与告警中心前端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工单列表、详情、流转操作、告警看板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P4-01/P4-02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运维可快速筛选高优先级异常并处理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运维移动页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巡检列表、到站打卡、维修上报、领料记录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P4-03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移动操作步骤短、字段精简、适合现场使用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P4-06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资产履历与维修成本挂接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asset_event、repair_cost_entry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P4-02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每次更换和维修都可追到资产与财务口径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100" w:line="264" w:lineRule="auto"/>
      </w:pPr>
      <w:r>
        <w:rPr>
          <w:rFonts w:ascii="Noto Sans CJK SC" w:hAnsi="Noto Sans CJK SC" w:eastAsia="Noto Sans CJK SC"/>
          <w:b/>
          <w:color w:val="2F6B3F"/>
          <w:sz w:val="25"/>
        </w:rPr>
        <w:t>P5｜电费成本、成本中心与经营看板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目标：先把项目经营口径做清楚，先支持公变直归；专变分摊先做可扩展底座。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成本中心模型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power_cost_center、site_bindings、billing_cycle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支持“站点直归”和“变压器归集”两种模式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电费录入与月结聚合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power_bill、monthly_cost_agg、profit_snapshot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P5-01/P3-05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可按项目汇总收入、成本、毛利；先满足月度口径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维修/领料/通信卡成本归集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repair_cost、material_cost、sim_cost_agg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P2-02/P4-06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项目下可查看主要成本构成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财务中心前端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收入台账、电费录入、成本台账、利润页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P5-02/P5-03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财务可录入、查询、导出；管理层可看趋势图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项目经营驾驶舱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项目概览、收入/成本/利润趋势、在线率、工单摘要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P5-02/P4-04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项目经理和投资人能一屏看清经营情况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P5-06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专变分摊规则预留实现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allocation_rule、allocation_preview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先能预览分摊，不强制在首发版本自动入账</w:t>
            </w:r>
          </w:p>
        </w:tc>
      </w:tr>
    </w:tbl>
    <w:p>
      <w:pPr>
        <w:spacing w:before="0" w:after="40"/>
      </w:pPr>
    </w:p>
    <w:p>
      <w:pPr>
        <w:pStyle w:val="Heading2"/>
        <w:spacing w:before="120" w:after="100" w:line="264" w:lineRule="auto"/>
      </w:pPr>
      <w:r>
        <w:rPr>
          <w:rFonts w:ascii="Noto Sans CJK SC" w:hAnsi="Noto Sans CJK SC" w:eastAsia="Noto Sans CJK SC"/>
          <w:b/>
          <w:color w:val="2F6B3F"/>
          <w:sz w:val="25"/>
        </w:rPr>
        <w:t>P6｜AI 辅助、灰度上线与稳态运营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目标：把 AI 放在“增强体验”和“加速排障”位置，不让它成为首发主路径依赖。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P6-01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消费者 AI 助手入口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faq intent、会话上下文、工单转派入口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P3-07/P4-02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可回答余额、记录、异常扣费、简单使用问题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P6-02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运维排障 AI 助手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日志摘要、告警聚类、建议动作模板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P2-04/P4-01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能把复杂日志转成可执行检查建议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P6-03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管理层分析问答页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项目问答入口、指标摘要卡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P5-05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可基于项目经营指标做简单问答与解释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P6-04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灰度上线、回滚与数据清理清单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runbook、回滚步骤、测试数据清理规则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P0-P5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可支持小范围试点、快速回滚、测试数据默认清理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P6-05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上线验收与 PR 关口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验收 checklist、问题归类与关闭标准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P6-04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验收项覆盖 contract、联动、计费、工单、报表与日志</w:t>
            </w:r>
          </w:p>
        </w:tc>
      </w:tr>
    </w:tbl>
    <w:p>
      <w:pPr>
        <w:spacing w:before="0" w:after="40"/>
      </w:pP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五、横向专项任务（贯穿所有阶段）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测试与质量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后端最少覆盖：模型校验、会话状态机、计费计算、异常补扣补退、工单流转、成本聚合。前端最少覆盖：核心页面空态/错态/加载态与主要表单流。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权限与审计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按区域、项目、站点树、功能模块、财务范围控制可见性；关键操作写入 audit_log；退款、调账、强制结束会话必须有审计痕迹。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发布与回滚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所有变更走分支 + PR + CI；发布前执行 smoke test；会话、钱包、工单、财务表的 DDL 变更必须有 rollback 说明。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数据治理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测试数据默认可清理；枚举值统一；日志字段统一；不做双口径命名；不做长期兼容层。</w:t>
            </w:r>
          </w:p>
        </w:tc>
      </w:tr>
    </w:tbl>
    <w:p>
      <w:pPr>
        <w:spacing w:before="0" w:after="40"/>
      </w:pP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六、建议执行顺序（真正的开工顺序）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020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任务ID</w:t>
            </w:r>
          </w:p>
        </w:tc>
        <w:tc>
          <w:tcPr>
            <w:tcW w:type="dxa" w:w="2268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任务项</w:t>
            </w:r>
          </w:p>
        </w:tc>
        <w:tc>
          <w:tcPr>
            <w:tcW w:type="dxa" w:w="1134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主责</w:t>
            </w:r>
          </w:p>
        </w:tc>
        <w:tc>
          <w:tcPr>
            <w:tcW w:type="dxa" w:w="175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关键输出</w:t>
            </w:r>
          </w:p>
        </w:tc>
        <w:tc>
          <w:tcPr>
            <w:tcW w:type="dxa" w:w="1587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依赖</w:t>
            </w:r>
          </w:p>
        </w:tc>
        <w:tc>
          <w:tcPr>
            <w:tcW w:type="dxa" w:w="1701"/>
            <w:shd w:fill="DCEBD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2D"/>
                <w:sz w:val="19"/>
              </w:rPr>
              <w:t>验收口径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先冻结 contract，再动前后端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 完成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最晚在开发周第 1 周结束前完成</w:t>
            </w:r>
          </w:p>
        </w:tc>
        <w:tc>
          <w:tcPr>
            <w:tcW w:type="dxa" w:w="1616"/>
          </w:tcPr>
          <w:p/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先建项目 / 站点 / 资产主干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 + 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P1 完成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这是后续设备、会话、工单、财务的共同地基</w:t>
            </w:r>
          </w:p>
        </w:tc>
        <w:tc>
          <w:tcPr>
            <w:tcW w:type="dxa" w:w="1616"/>
          </w:tcPr>
          <w:p/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先做设备接入与日志，再做消费会话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P2 → P3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没有在线状态、指令回执和日志，就无法闭环会话与排障</w:t>
            </w:r>
          </w:p>
        </w:tc>
        <w:tc>
          <w:tcPr>
            <w:tcW w:type="dxa" w:w="1616"/>
          </w:tcPr>
          <w:p/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S4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先做基础计费，不先做复杂套餐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P3 完成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首发先支持按时长 / 按电量二选一或并行二选一</w:t>
            </w:r>
          </w:p>
        </w:tc>
        <w:tc>
          <w:tcPr>
            <w:tcW w:type="dxa" w:w="1616"/>
          </w:tcPr>
          <w:p/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S5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先做工单与基础告警，再做 AI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 + Lovable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P4 → P6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 首发只做增强能力，不做关键路径强依赖</w:t>
            </w:r>
          </w:p>
        </w:tc>
        <w:tc>
          <w:tcPr>
            <w:tcW w:type="dxa" w:w="1616"/>
          </w:tcPr>
          <w:p/>
        </w:tc>
      </w:tr>
      <w:tr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S6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先公变直归，再专变分摊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17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P5 完成</w:t>
            </w:r>
          </w:p>
        </w:tc>
        <w:tc>
          <w:tcPr>
            <w:tcW w:type="dxa" w:w="15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避免首发被复杂成本分摊拖慢</w:t>
            </w:r>
          </w:p>
        </w:tc>
        <w:tc>
          <w:tcPr>
            <w:tcW w:type="dxa" w:w="1616"/>
          </w:tcPr>
          <w:p/>
        </w:tc>
      </w:tr>
    </w:tbl>
    <w:p>
      <w:pPr>
        <w:spacing w:before="0" w:after="40"/>
      </w:pP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七、首发上线门槛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项目、站点、资产、设备、SIM、钱包、实体卡、控制会话、工单、告警、财务台账均有稳定主键与状态枚举。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农户端可完成：扫码或刷卡启动、运行中查看、正常结束、余额查询、历史记录查询、AI 提问。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后台联动规则可配置；至少支持“阀先开、泵后开；支路结束先关阀；无支路再停泵”的基础链路。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至少一个项目能够跑通：建项目 → 建站点 → 装设备 → 绑 SIM → 绑二维码/卡 → 启动会话 → 结算 → 形成收入 → 形成工单 → 财务看板可见。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日志、告警、审计、退款、补扣补退、强制结束会话都有可追踪记录。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4"/>
            <w:shd w:fill="FBEAEA"/>
            <w:tcBorders>
              <w:left w:sz="10" w:val="single" w:color="C9D9CB"/>
              <w:top w:sz="10" w:val="single" w:color="C9D9CB"/>
              <w:right w:sz="10" w:val="single" w:color="C9D9CB"/>
              <w:bottom w:sz="10" w:val="single" w:color="C9D9C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Title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1F4E2D"/>
                <w:sz w:val="21"/>
              </w:rPr>
              <w:t>首发不强求的内容</w:t>
            </w:r>
          </w:p>
          <w:p>
            <w:pPr>
              <w:pStyle w:val="BodyTextCustom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复杂套餐、阶梯计费、专变自动分摊、自动分账、复杂多泵多阀能力模型、预测性维护、AI 深度判责等都可以放到下一阶段，不要拖慢经营闭环首发。</w:t>
            </w:r>
          </w:p>
        </w:tc>
      </w:tr>
    </w:tbl>
    <w:p>
      <w:pPr>
        <w:spacing w:before="0" w:after="40"/>
      </w:pPr>
    </w:p>
    <w:p>
      <w:pPr>
        <w:pStyle w:val="Heading1"/>
        <w:spacing w:before="120" w:after="100" w:line="264" w:lineRule="auto"/>
      </w:pPr>
      <w:r>
        <w:rPr>
          <w:rFonts w:ascii="Noto Sans CJK SC" w:hAnsi="Noto Sans CJK SC" w:eastAsia="Noto Sans CJK SC"/>
          <w:b/>
          <w:color w:val="1F4E2D"/>
          <w:sz w:val="31"/>
        </w:rPr>
        <w:t>八、直接可下发的首批任务包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给 Codex：先产出根级 AGENTS.md、.cursor/rules、Lovable knowledge、8 个 contract 模板、上线验收清单。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给 Cursor：先实现 P1 + P2 的后端模型与 API；随后推进 P3 的会话状态机和基础计费。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给 Lovable：先实现项目页、站点树页、地图页、资产页、设备页；等 P3 API 稳定后再做农户极简页和钱包页。</w:t>
      </w:r>
    </w:p>
    <w:p>
      <w:pPr>
        <w:pStyle w:val="BodyTextCustom"/>
        <w:spacing w:before="0" w:after="40" w:line="293" w:lineRule="auto"/>
        <w:ind w:left="340" w:hanging="198"/>
      </w:pPr>
      <w:r>
        <w:rPr>
          <w:rFonts w:ascii="Noto Sans CJK SC" w:hAnsi="Noto Sans CJK SC" w:eastAsia="Noto Sans CJK SC"/>
          <w:b/>
          <w:color w:val="1F4E2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222222"/>
          <w:sz w:val="21"/>
        </w:rPr>
        <w:t>给你自己：只做边界拍板、规则确认、项目真源确认、财务口径确认与最终 merge，不亲自卷入每天的重复实现细节。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4"/>
            <w:shd w:fill="EEF5EF"/>
            <w:tcBorders>
              <w:left w:sz="10" w:val="single" w:color="C9D9CB"/>
              <w:top w:sz="10" w:val="single" w:color="C9D9CB"/>
              <w:right w:sz="10" w:val="single" w:color="C9D9CB"/>
              <w:bottom w:sz="10" w:val="single" w:color="C9D9CB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Title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1F4E2D"/>
                <w:sz w:val="21"/>
              </w:rPr>
              <w:t>一句话结论</w:t>
            </w:r>
          </w:p>
          <w:p>
            <w:pPr>
              <w:pStyle w:val="BodyTextCustom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第一阶段不是去做一个“大而全的平台”，而是要先跑通“项目经营闭环 + 现场运维闭环 + 日志审计闭环”。只要这三条链路打通，后续农机、农资、农服和乡村振兴能力都可以挂接到同一底座上。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九、权限专项任务（本版新增）</w:t>
      </w:r>
    </w:p>
    <w:p>
      <w:pPr>
        <w:spacing w:before="0" w:after="120" w:line="324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权限不是一页后台配置页，而是横跨菜单、按钮、详情、导出、控制执行、财务审批、AI 调用和审计留痕的全局底座。以下任务必须纳入第一阶段，不建议后置。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13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任务编码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主责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依赖</w:t>
            </w:r>
          </w:p>
        </w:tc>
        <w:tc>
          <w:tcPr>
            <w:tcW w:type="dxa" w:w="260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关键输出</w:t>
            </w:r>
          </w:p>
        </w:tc>
        <w:tc>
          <w:tcPr>
            <w:tcW w:type="dxa" w:w="2494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验收口径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AUTH-P0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Codex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全景方案、领域模型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统一权限词典、角色模板、范围模型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文档冻结并与四份主文档一致。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AUTH-P1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Cursor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AUTH-P0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auth_role / auth_permission / auth_scope_grant / auth_access_audit 表与 migration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迁移可执行，基础 seed 可用。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AUTH-P2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Cursor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AUTH-P1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后端统一鉴权中间件、范围解析器、site_subtree 过滤能力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接口无法绕过服务端鉴权。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AUTH-P3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Lovable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AUTH-P0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角色模板页、授权记录页、高风险审批页、审计页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菜单与操作态按 capabilities 正确收口。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AUTH-P4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Cursor + Lovable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AUTH-P2/P3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批量 access-check、列表范围过滤、详情掩蔽逻辑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越权时正确返回 403 或 404/脱敏。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AUTH-P5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QA / Codex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AUTH-P4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权限回归用例、导出审批回归、强制控制审计回归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回归通过后才允许首发上线。</w:t>
            </w:r>
          </w:p>
        </w:tc>
      </w:tr>
    </w:tbl>
    <w:p/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九.1 权限任务与现有阶段的挂接方式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P0 治理阶段必须额外冻结：权限点命名、角色模板、范围类型、审计事件字典。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P1 区域 / 项目 / 站点阶段必须补齐 project_id、site_id、business_region_id、created_by 等审计与过滤字段。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P2 设备与日志阶段必须把 telemetry、控制执行、SIM 查询纳入 site_subtree 或 project 过滤。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P3 会话、计费、钱包阶段必须把 refund.approve、session.force_stop、finance.export 作为单独高风险权限。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P4/P5 阶段必须完成高风险审批、导出留痕、越权访问回归测试。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九.2 上线门槛追加（本版新增）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至少 3 类角色和 3 类范围（区域 / 项目 / 站点子树）已在测试环境跑通真实数据。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越权详情查看、越权导出、越权退款审批、越权强制停泵均被服务端拒绝并留痕。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AI 接口不会跨用户范围读取财务与日志数据，敏感字段默认脱敏。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所有授权变更均有审计日志，且可按用户、权限点、范围、时间检索。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>V1.0｜2026-03-25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后稷灌溉AI运营系统｜第一阶段开发任务树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2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rPr>
      <w:rFonts w:ascii="Noto Sans CJK SC" w:hAnsi="Noto Sans CJK SC" w:eastAsia="Noto Sans CJK SC"/>
      <w:color w:val="666666"/>
      <w:sz w:val="22"/>
    </w:rPr>
  </w:style>
  <w:style w:type="paragraph" w:customStyle="1" w:styleId="BodyTextCustom">
    <w:name w:val="BodyTextCustom"/>
    <w:basedOn w:val="Normal"/>
    <w:pPr>
      <w:spacing w:line="293" w:lineRule="auto" w:after="60"/>
    </w:pPr>
    <w:rPr>
      <w:rFonts w:ascii="Noto Sans CJK SC" w:hAnsi="Noto Sans CJK SC" w:eastAsia="Noto Sans CJK SC"/>
      <w:sz w:val="21"/>
    </w:rPr>
  </w:style>
  <w:style w:type="paragraph" w:customStyle="1" w:styleId="BoxTitle">
    <w:name w:val="BoxTitle"/>
    <w:basedOn w:val="Normal"/>
    <w:rPr>
      <w:rFonts w:ascii="Noto Sans CJK SC" w:hAnsi="Noto Sans CJK SC" w:eastAsia="Noto Sans CJK SC"/>
      <w:b/>
      <w:color w:val="1F4E2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后稷灌溉AI运营系统 第一阶段开发任务树</dc:title>
  <dc:subject>Codex Cursor Lovable 分工版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