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3A7D44"/>
          <w:sz w:val="44"/>
        </w:rPr>
        <w:t>后稷灌溉 AI 运营系统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03324"/>
          <w:sz w:val="34"/>
        </w:rPr>
        <w:t>领域模型与表结构草案</w:t>
      </w:r>
    </w:p>
    <w:p>
      <w:pPr>
        <w:spacing w:after="120"/>
        <w:jc w:val="center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b w:val="0"/>
          <w:sz w:val="26"/>
        </w:rPr>
        <w:t>面向 Phase 1 灌溉运营闭环的后端主模型、权限域表结构与前后端 contract 冻结顺序（V1.1 权限整合版）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sz w:val="23"/>
        </w:rPr>
        <w:t>本版更新摘要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新增权限域表结构建议：角色、权限点、角色权限映射、范围授权、访问审计。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明确站点子树授权所需的 site_closure / site_path 支撑，不把站点权限做成纯前端勾选。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补充所有主业务表必须携带的范围关联字段与审计字段。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4EA"/>
            <w:tcBorders>
              <w:left w:val="single" w:sz="8" w:color="9ABD9D"/>
              <w:top w:val="single" w:sz="8" w:color="9ABD9D"/>
              <w:right w:val="single" w:sz="8" w:color="9ABD9D"/>
              <w:bottom w:val="single" w:sz="8" w:color="9ABD9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A7D44"/>
                <w:sz w:val="22"/>
              </w:rPr>
              <w:t>本稿定位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不是数据库物理设计定稿，而是用于指导产品、后端、前端、调度协同的领域模型与逻辑表结构草案。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本稿优先解决：项目经营主体、站点树、资产/设备分层、农户极简操作、后台联动编排、会话结算、电费成本、工单运维。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本稿默认：农机、农资、乡村振兴等板块暂不在 Phase 1 落地，但所有主模型都为后续联动预留扩展位。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文档版本</w:t>
            </w:r>
          </w:p>
        </w:tc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适用阶段</w:t>
            </w:r>
          </w:p>
        </w:tc>
        <w:tc>
          <w:tcPr>
            <w:tcW w:type="dxa" w:w="311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推荐数据库</w:t>
            </w:r>
          </w:p>
        </w:tc>
        <w:tc>
          <w:tcPr>
            <w:tcW w:type="dxa" w:w="283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主协同方式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V1.0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灌溉 Phase 1</w:t>
            </w:r>
          </w:p>
        </w:tc>
        <w:tc>
          <w:tcPr>
            <w:tcW w:type="dxa" w:w="311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PostgreSQL + PostGIS（生产）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Codex 收口 / Cursor 后端 / Lovable 前端</w:t>
            </w:r>
          </w:p>
        </w:tc>
      </w:tr>
    </w:tbl>
    <w:p/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1. 最高原则与设计边界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7ED"/>
            <w:tcBorders>
              <w:left w:val="single" w:sz="8" w:color="9ABD9D"/>
              <w:top w:val="single" w:sz="8" w:color="9ABD9D"/>
              <w:right w:val="single" w:sz="8" w:color="9ABD9D"/>
              <w:bottom w:val="single" w:sz="8" w:color="9ABD9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A7D44"/>
                <w:sz w:val="22"/>
              </w:rPr>
              <w:t>最高原则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项目是经营主体与核算主体；区域只是基础真源与统计维度，不直接替代项目经营边界。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农户端必须极简：农户只需扫码或刷卡，不关心泵阀联动、容量判断、启停顺序、会话结算细节。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联动链路全部由后台统一配置并编排执行；前端与设备侧不保存业务联动规则真相。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站点是现场运营骨架；资产是财务与维修骨架；设备是通信、遥测、控制骨架，三者必须解耦。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4G 设备以 IMEI 为唯一标识；非 4G 辅助设备以芯片 SN 为唯一标识。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站点只保留物理位置与 region_reference.code；Project 只挂 business_region_id。</w:t>
            </w:r>
          </w:p>
        </w:tc>
      </w:tr>
    </w:tbl>
    <w:p/>
    <w:p>
      <w:pPr>
        <w:spacing w:before="200" w:after="80"/>
      </w:pPr>
      <w:r>
        <w:rPr>
          <w:rFonts w:ascii="Noto Sans CJK SC" w:hAnsi="Noto Sans CJK SC" w:eastAsia="Noto Sans CJK SC"/>
          <w:b/>
          <w:color w:val="203324"/>
          <w:sz w:val="26"/>
        </w:rPr>
        <w:t>1.1 本阶段必须解决的关键问题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如何把“项目—站点树—资产/设备—控制会话—财务—运维”串成一条主链路。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如何让农户只有一个简单入口，但后台仍能完成泵、阀、水肥机等复杂联动。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如何支持专用变压器与公用变压器两类成本归集，不让财务模型后期推翻重来。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如何让运维以站点树和资产履历为入口，快速完成巡检、安装、排障、换件与领料。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203324"/>
          <w:sz w:val="26"/>
        </w:rPr>
        <w:t>1.2 农户极简操作原则（新增补充后的正式口径）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  <w:color w:val="203324"/>
          <w:sz w:val="21"/>
        </w:rPr>
        <w:t>农户端只暴露最简单、最直接的动作：扫码用水、刷卡用水、查看余额、查看记录、发起问题反馈。泵阀联动、容量限制、上游水泵选择、阀门启停顺序、异常补扣补退，都由后台规则引擎统一处理。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24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维度</w:t>
            </w:r>
          </w:p>
        </w:tc>
        <w:tc>
          <w:tcPr>
            <w:tcW w:type="dxa" w:w="238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农户端呈现</w:t>
            </w:r>
          </w:p>
        </w:tc>
        <w:tc>
          <w:tcPr>
            <w:tcW w:type="dxa" w:w="5216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后台真实处理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入口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扫码 / 刷卡</w:t>
            </w:r>
          </w:p>
        </w:tc>
        <w:tc>
          <w:tcPr>
            <w:tcW w:type="dxa" w:w="52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解析二维码或卡标识，识别项目、站点、控制器、设备能力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联动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无需关注</w:t>
            </w:r>
          </w:p>
        </w:tc>
        <w:tc>
          <w:tcPr>
            <w:tcW w:type="dxa" w:w="52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按 control_topology_rule 自动决定先开阀、再启泵、结束时如何收尾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并发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无需判断</w:t>
            </w:r>
          </w:p>
        </w:tc>
        <w:tc>
          <w:tcPr>
            <w:tcW w:type="dxa" w:w="52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按 capacity_rule / mutex_rule 判断是否允许多人并行开启不同支路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计费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看结果即可</w:t>
            </w:r>
          </w:p>
        </w:tc>
        <w:tc>
          <w:tcPr>
            <w:tcW w:type="dxa" w:w="52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按 tariff_rule + 会话采集值统一结算，必要时补扣/补退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异常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收到简单提示</w:t>
            </w:r>
          </w:p>
        </w:tc>
        <w:tc>
          <w:tcPr>
            <w:tcW w:type="dxa" w:w="52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记录 control_command_log / alert_event / session_end_reason 供运维与财务追溯</w:t>
            </w:r>
          </w:p>
        </w:tc>
      </w:tr>
    </w:tbl>
    <w:p/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2. 领域全景：核心对象与关系总览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  <w:color w:val="203324"/>
          <w:sz w:val="21"/>
        </w:rPr>
        <w:t>建议以“区域与项目域、站点域、资产与设备域、用户与账户域、控制与会话域、财务域、运维域、日志与 AI 域”八个领域组织系统。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领域</w:t>
            </w:r>
          </w:p>
        </w:tc>
        <w:tc>
          <w:tcPr>
            <w:tcW w:type="dxa" w:w="34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核心对象</w:t>
            </w:r>
          </w:p>
        </w:tc>
        <w:tc>
          <w:tcPr>
            <w:tcW w:type="dxa" w:w="3969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解决的问题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区域与项目域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region_reference / business_region / project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把基础行政区划、业务运营区与项目经营主体分开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站点域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组织现场树形结构、地图定位与上下游空间关系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资产与设备域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 / device / sim_card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分开财务资产与通信控制能力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用户与账户域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user_account / wallet_account / access_card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支撑扫码、刷卡、充值、退款、代充值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控制与会话域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control_entry / control_topology_rule / irrigation_session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把农户极简入口与后台复杂联动连接起来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财务域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tariff_scheme / wallet_txn / power_cost_center / monthly_power_bill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形成收入、成本、利润与分账口径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运维域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inspection_task / work_order / material_issue_log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围绕巡检、工单、领料、变更形成闭环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日志与 AI 域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device_comm_log / alert_event / ai_conversation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AFCF9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支撑排障、审计、客服与经营分析</w:t>
            </w:r>
          </w:p>
        </w:tc>
      </w:tr>
    </w:tbl>
    <w:p/>
    <w:p>
      <w:pPr>
        <w:spacing w:before="200" w:after="80"/>
      </w:pPr>
      <w:r>
        <w:rPr>
          <w:rFonts w:ascii="Noto Sans CJK SC" w:hAnsi="Noto Sans CJK SC" w:eastAsia="Noto Sans CJK SC"/>
          <w:b/>
          <w:color w:val="203324"/>
          <w:sz w:val="26"/>
        </w:rPr>
        <w:t>2.1 总链路（建议作为产品与研发共同语言）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官方行政区数据进入 region_reference。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运营方基于 region_reference 形成 business_region。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项目 project 挂 business_region_id，成为经营主体。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项目下建立 site 树，形成变压器—机井/泵站—出水口/阀组的现场骨架。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site 下挂 asset，asset 中的可通信部分再挂 device；4G 设备用 IMEI，非 4G 设备用芯片 SN。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农户通过扫码或刷卡进入 control_entry，后台通过 control_topology_rule 编排联动，再创建 irrigation_session。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session 运行中汇集时长、水量、电量等计量值，结算产生 session_charge、wallet_txn 与收入口径。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财务按 power_cost_center 与 monthly_power_bill 归集成本，并与维修、领料、通信卡成本一起汇总利润。</w:t>
      </w:r>
    </w:p>
    <w:p>
      <w:pPr>
        <w:pStyle w:val="ListNumber"/>
        <w:spacing w:after="80" w:line="300" w:lineRule="auto"/>
      </w:pPr>
      <w:r>
        <w:rPr>
          <w:rFonts w:ascii="Noto Sans CJK SC" w:hAnsi="Noto Sans CJK SC" w:eastAsia="Noto Sans CJK SC"/>
          <w:b w:val="0"/>
          <w:color w:val="203324"/>
          <w:sz w:val="20"/>
        </w:rPr>
        <w:t>运维通过 inspection_task、work_order、device_comm_log、alert_event 处理问题，并回写资产履历。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3. 区域与项目域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203324"/>
          <w:sz w:val="26"/>
        </w:rPr>
        <w:t>3.1 表清单（建议）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15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294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9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45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region_reference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保存官方行政区划真源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business_region_scope 引用其 code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business_region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业务运营区域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project.business_region_id -&gt; business_region.id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business_region_scope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定义业务区域覆盖范围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business_region.id + region_reference.code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项目经营主体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site/project_partner_share/tariff_scheme 等归属于 project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project_partner_share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投资者或合作方分配规则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P2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project.id -&gt; share_rule</w:t>
            </w:r>
          </w:p>
        </w:tc>
      </w:tr>
    </w:tbl>
    <w:p/>
    <w:p>
      <w:pPr>
        <w:spacing w:before="200" w:after="80"/>
      </w:pPr>
      <w:r>
        <w:rPr>
          <w:rFonts w:ascii="Noto Sans CJK SC" w:hAnsi="Noto Sans CJK SC" w:eastAsia="Noto Sans CJK SC"/>
          <w:b/>
          <w:color w:val="203324"/>
          <w:sz w:val="26"/>
        </w:rPr>
        <w:t>3.2 核心表字段建议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官方行政区 code，唯一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行政区名称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level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smallint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层级：省/市/县/乡/村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parent_code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上级行政区 code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full_name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varchar(256)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完整名称链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source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来源，如 official_mca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version_no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导入版本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active / inactive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表：region_reference（行政区真源）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region_code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业务区域编码，唯一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region_name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业务区域名称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region_level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运营层级，如 county / town / cluster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parent_region_id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支持业务区域树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anchor_region_code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锚定的主要行政区 code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draft / active / archived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remark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text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说明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表：business_region（业务区域）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项目编码，唯一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项目名称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business_region_id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只挂业务区域，不直接挂行政区原始表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建议先支持 irrigation / agri_service / mixed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planning / building / operating / paused / closed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start_date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开工或立项日期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owner_org_name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归属组织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default_tariff_scheme_id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默认计费方案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share_rule_mode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为后续投资分配预留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ext_json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jsonb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预留扩展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表：project（经营主体）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4. 站点域（现场骨架）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  <w:color w:val="203324"/>
          <w:sz w:val="21"/>
        </w:rPr>
        <w:t>统一建议：凡是依托土地要素、有物理位置、可巡检、可管理、可运营的对象，都建模为 site；站点支持树形层级，但财务与设备不直接依赖站点层级推断，必须有明确引用。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26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300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9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28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</w:t>
            </w:r>
          </w:p>
        </w:tc>
        <w:tc>
          <w:tcPr>
            <w:tcW w:type="dxa" w:w="300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统一站点表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 -&gt; project.id；parent_site_id -&gt; site.id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site_topology_relation</w:t>
            </w:r>
          </w:p>
        </w:tc>
        <w:tc>
          <w:tcPr>
            <w:tcW w:type="dxa" w:w="300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表达供水、配电、联动等非树形关系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from_site_id / to_site_id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site_geo_snapshot</w:t>
            </w:r>
          </w:p>
        </w:tc>
        <w:tc>
          <w:tcPr>
            <w:tcW w:type="dxa" w:w="300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移动端选点与地理修订记录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site.id 关联历史坐标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control_capacity_rule</w:t>
            </w:r>
          </w:p>
        </w:tc>
        <w:tc>
          <w:tcPr>
            <w:tcW w:type="dxa" w:w="300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站点级容量或并发约束</w:t>
            </w:r>
          </w:p>
        </w:tc>
        <w:tc>
          <w:tcPr>
            <w:tcW w:type="dxa" w:w="11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site.id / device.id 约束会话并发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站点编码，项目内唯一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站点名称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transformer / well / pump_station / weather / outlet / valve_group / service_center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parent_site_id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站点树父节点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region_reference_code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站点物理位置对应行政区 code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latitude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decimal(10,7)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纬度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longitude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decimal(10,7)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经度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address_text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varchar(255)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详细地址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site_level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L1/L2/L3，便于移动端和运维视图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power_mode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grid / solar / hybrid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lifecycle_status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draft / active / inactive / retired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risk_level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normal / attention / high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ext_json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jsonb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预留现场参数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表：site（统一站点表）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8F1"/>
            <w:tcBorders>
              <w:left w:val="single" w:sz="8" w:color="9ABD9D"/>
              <w:top w:val="single" w:sz="8" w:color="9ABD9D"/>
              <w:right w:val="single" w:sz="8" w:color="9ABD9D"/>
              <w:bottom w:val="single" w:sz="8" w:color="9ABD9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A7D44"/>
                <w:sz w:val="22"/>
              </w:rPr>
              <w:t>站点域特别说明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树形 parent_site_id 用于现场组织；但“供水关系、联动关系、配电关系、容量关系”不要偷懒写死在树里，应通过 site_topology_relation 或 control_topology_rule 单独表达。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专用变压器站点下可以挂多个机井/泵站；机井下可以再挂多个出水口/阀组；这样移动端巡检与管理端地图都能统一。</w:t>
            </w:r>
          </w:p>
        </w:tc>
      </w:tr>
    </w:tbl>
    <w:p/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5. 资产与设备域（财务骨架与通信骨架分离）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15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283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3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62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资产台账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 / site_id 必填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通信与控制设备表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asset_id 一对一或一对多扩展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sim_card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SIM 卡表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device.sim_card_id -&gt; sim_card.id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device_binding_log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设备、卡、站点绑定履历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追踪换卡、换站、换机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asset_change_log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安装、拆除、更换、报废履历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运维闭环所需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系统自动生成，不建议前端传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资产名称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pump / pipe / elbow / valve / weather_sensor / battery 等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唯一业务归属只认 project_id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安装站点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physical_region_code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物理位置行政区 code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manufacturer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厂家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model_no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型号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serial_no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资产序列号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stock / installing / active / repairing / scrapped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original_value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原值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ownership_type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owned / leased / partner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install_date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安装日期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表：asset（资产台账）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对应资产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pump_controller / valve_controller / fertigation_controller / weather_collector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imei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4G 设备唯一标识，唯一约束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chip_sn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非 4G 辅助设备唯一标识，唯一约束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protocol_type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协议类型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controller_code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控制器编码，供扫码解析使用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online_status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online / offline / unknown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last_seen_at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最后通信时间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firmware_version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固件版本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battery_percent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decimal(5,2)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电池电量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solar_voltage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decimal(8,2)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太阳能侧电压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main_voltage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decimal(8,2)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市电电压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sim_card_id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绑定通信卡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表：device（设备与控制能力）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6. 用户与账户域（扫码、刷卡、充值、退款）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09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283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3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68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user_account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用户主档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既支持农户也支持运维/财务/投资者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wallet_account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余额账户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一用户一主钱包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access_card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实体卡/刷卡介质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卡可代充值，可挂失，可补卡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wallet_txn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钱包流水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充值、退款、消费、冲正统一流水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recharge_order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充值订单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线上/线下/代充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refund_order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退款订单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退款申请与执行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package_plan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套餐产品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P2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第二阶段再深入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package_subscription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套餐订购记录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P2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与会话结算联动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user_type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farmer / operator / finance / investor / admin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display_name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mobile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手机号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wechat_openid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微信标识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active / disabled / frozen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default_project_id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便于运维/管理端默认上下文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ext_json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jsonb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实名信息、标签等扩展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表：user_account（用户主档）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user_id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所属用户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balance_amount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可用余额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frozen_amount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冻结余额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active / frozen / closed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credit_limit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后期授信预留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last_txn_at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最近变动时间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表：wallet_account（钱包账户）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card_no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业务卡号，唯一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physical_uid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物理 UID，唯一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owner_user_id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可绑定用户，也可先空置发卡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new / active / lost / replaced / retired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linked_wallet_id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对应钱包账户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issued_at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发卡时间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activated_at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激活时间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replaced_by_card_id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补卡关系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表：access_card（实体卡）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7. 控制、联动与会话域（农户极简入口的后台引擎）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7ED"/>
            <w:tcBorders>
              <w:left w:val="single" w:sz="8" w:color="9ABD9D"/>
              <w:top w:val="single" w:sz="8" w:color="9ABD9D"/>
              <w:right w:val="single" w:sz="8" w:color="9ABD9D"/>
              <w:bottom w:val="single" w:sz="8" w:color="9ABD9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A7D44"/>
                <w:sz w:val="22"/>
              </w:rPr>
              <w:t>这一域是本系统最关键的差异化能力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农户只触发 control_entry；后台根据 control_topology_rule 和 capacity_rule 选择真实执行链路。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会话 session 是消费、控制日志、财务结算、异常追溯的唯一连接点。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必须支持多人并行使用不同阀门，但不能把并发判断留给前端或设备端“猜”。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26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272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3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62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control_entry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扫码/刷卡的入口对象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解析到项目、站点、主设备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control_topology_rule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后台联动规则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定义先开阀后启泵、结束收尾等逻辑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control_capacity_rule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容量/并发/互斥规则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限制上游泵与支路并发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irrigation_session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控制与消费会话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连接用户、站点、设备、计费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session_metering_snapshot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会话计量快照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水量/电量/时长等采集值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session_charge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会话结算明细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写入钱包流水、收入报表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control_command_log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控制指令日志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记录每次开阀/启泵/停泵/收尾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entry_code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二维码或刷卡入口编码，唯一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entry_type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qr / card_reader / hybrid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入口对应站点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primary_device_id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主控制设备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entry_scope_type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 / device / outlet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active / disabled / test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display_name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农户可见的简单名称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表：control_entry（农户入口对象）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entry_id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对应入口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rule_name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规则名称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topology_mode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pump_only / valve_then_pump / fertigation_chain 等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upstream_device_id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上游泵或主设备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downstream_device_ids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jsonb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支路阀门、子设备集合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start_sequence_json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jsonb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启动顺序，如 open_valve -&gt; confirm -&gt; start_pump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stop_sequence_json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jsonb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结束顺序，如 close_branch -&gt; if none_running stop_pump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mutex_group_code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互斥分组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capacity_rule_ref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varchar(64)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关联容量规则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draft / active / archived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表：control_topology_rule（后台联动编排规则）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session_no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会话号，唯一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发起用户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wallet_id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扣费账户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card_id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刷卡场景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entry_id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来源入口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site_id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本次会话归属站点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primary_device_id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主执行设备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topology_rule_id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命中的联动规则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tariff_scheme_id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结算时锁定的计费方案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session_status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pending / running / ended / failed / adjusted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start_time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开始时间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end_time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结束时间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end_reason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user_stop / low_balance / fault / timeout / offline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duration_seconds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bigint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运行时长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water_volume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decimal(14,3)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累计出水量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power_kwh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decimal(14,3)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累计耗电量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revenue_amount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本会话收入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cost_amount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本会话分摊成本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gross_profit_amount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毛利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exception_flag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boolean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8"/>
              </w:rPr>
              <w:t>是否异常会话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表：irrigation_session（控制与消费会话）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8. 计费与财务域（收入、成本、利润、分配）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15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283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3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62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tariff_scheme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计费方案主表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 级或站点级适用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tariff_rule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计费规则明细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支持时长/水量/电量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wallet_txn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钱包流水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收入与退款统一台账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power_cost_center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电费成本中心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适配专变与公变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monthly_power_bill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月度电费账单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按成本中心录入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power_cost_allocation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电费分摊结果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专变场景需要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project_profit_snapshot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项目利润快照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供报表与经营看板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investor_settlement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投资者结算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P2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第二阶段自动分账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scheme_code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方案编码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scheme_name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varchar(128)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方案名称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scope_type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 / site / entry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scope_id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适用对象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billing_mode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time / volume / power / mixed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draft / active / expired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effective_from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生效时间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effective_to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失效时间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priority_no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int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多规则命中时优先级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表：tariff_scheme（计费方案）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wallet_id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所属钱包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txn_no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流水号，唯一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txn_type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recharge / refund / consume / reverse / adjust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amount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金额，正负方向由类型决定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related_session_id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消费会话关联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related_order_no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充值或退款订单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balance_after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decimal(14,2)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变动后余额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occurred_at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发生时间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remark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varchar(255)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说明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表：wallet_txn（钱包流水）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center_code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成本中心编码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center_type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transformer / site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专变绑定变压器站点；公变绑定单站点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allocation_mode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direct / manual / ratio / session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active / inactive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表：power_cost_center（电费成本中心）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8F1"/>
            <w:tcBorders>
              <w:left w:val="single" w:sz="8" w:color="9ABD9D"/>
              <w:top w:val="single" w:sz="8" w:color="9ABD9D"/>
              <w:right w:val="single" w:sz="8" w:color="9ABD9D"/>
              <w:bottom w:val="single" w:sz="8" w:color="9ABD9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A7D44"/>
                <w:sz w:val="22"/>
              </w:rPr>
              <w:t>专变 / 公变正式口径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公用变压器：电表落在单独站点，monthly_power_bill 可直接记入该站点成本中心。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专用变压器：电表落在变压器站点，monthly_power_bill 先归集到 transformer 型成本中心，再由 power_cost_allocation 分摊到下级站点或会话。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第一阶段建议先把成本中心与月度电费录入做对，再逐步引入自动分摊规则。</w:t>
            </w:r>
          </w:p>
        </w:tc>
      </w:tr>
    </w:tbl>
    <w:p/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9. 运维域（巡检、工单、领料、履历）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15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283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3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62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inspection_task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巡检任务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面向站点树派发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inspection_record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巡检记录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支持图片、定位、异常项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work_order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故障/安装/更换工单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关联站点、资产、设备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material_item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备件主档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维修与领料成本基础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material_issue_log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领料/退料流水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可回写维修成本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asset_change_log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安装/拆除/更换履历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资产状态与现场一致性的关键表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wo_no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工单号，唯一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wo_type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fault / install / replace / inspect / material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关联站点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关联资产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关联设备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source_type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manual / alert / inspection / ai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priority_level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low / normal / high / urgent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new / assigned / processing / waiting / done / closed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assignee_user_id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负责人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opened_at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开单时间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closed_at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闭单时间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result_summary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text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处理结果摘要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表：work_order（工单）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10. 日志、告警与 AI 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15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表名</w:t>
            </w:r>
          </w:p>
        </w:tc>
        <w:tc>
          <w:tcPr>
            <w:tcW w:type="dxa" w:w="283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主用途</w:t>
            </w:r>
          </w:p>
        </w:tc>
        <w:tc>
          <w:tcPr>
            <w:tcW w:type="dxa" w:w="113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MVP 优先级</w:t>
            </w:r>
          </w:p>
        </w:tc>
        <w:tc>
          <w:tcPr>
            <w:tcW w:type="dxa" w:w="362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关键关系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device_comm_log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设备通信日志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支撑掉线排查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device_telemetry_log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状态遥测日志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电量、电压、信号等时序数据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control_command_log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控制指令日志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与 session 强关联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alert_event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告警中心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P0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可转工单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ai_conversation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AI 会话记录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消费、运维、经营问答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ai_case_routing</w:t>
            </w:r>
          </w:p>
        </w:tc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AI 分类与转工单结果</w:t>
            </w:r>
          </w:p>
        </w:tc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P1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AF5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问题自动归类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字段</w:t>
            </w:r>
          </w:p>
        </w:tc>
        <w:tc>
          <w:tcPr>
            <w:tcW w:type="dxa" w:w="170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类型</w:t>
            </w:r>
          </w:p>
        </w:tc>
        <w:tc>
          <w:tcPr>
            <w:tcW w:type="dxa" w:w="73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必填</w:t>
            </w:r>
          </w:p>
        </w:tc>
        <w:tc>
          <w:tcPr>
            <w:tcW w:type="dxa" w:w="51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主键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alert_code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告警号，唯一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project_id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所属项目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相关站点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相关设备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alert_type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varchar(32)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offline / low_battery / solar_abnormal / valve_timeout / charge_abnormal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severity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info / warning / major / critical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varchar(16)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open / acknowledged / resolved / ignored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triggered_at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Y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触发时间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resolved_at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datetime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解除时间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work_order_id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uuid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若已转工单则记录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payload_json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jsonb</w:t>
            </w:r>
          </w:p>
        </w:tc>
        <w:tc>
          <w:tcPr>
            <w:tcW w:type="dxa" w:w="73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N</w:t>
            </w:r>
          </w:p>
        </w:tc>
        <w:tc>
          <w:tcPr>
            <w:tcW w:type="dxa" w:w="51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CFDFC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原始明细</w:t>
            </w:r>
          </w:p>
        </w:tc>
      </w:tr>
    </w:tbl>
    <w:p/>
    <w:p>
      <w:pPr>
        <w:spacing w:after="80" w:before="0" w:line="324" w:lineRule="auto"/>
      </w:pPr>
      <w:r>
        <w:rPr>
          <w:rFonts w:ascii="Noto Sans CJK SC" w:hAnsi="Noto Sans CJK SC" w:eastAsia="Noto Sans CJK SC"/>
          <w:b/>
          <w:color w:val="5F685E"/>
          <w:sz w:val="20"/>
        </w:rPr>
        <w:t>表：alert_event（告警事件）</w:t>
      </w:r>
    </w:p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11. 前后端 contract 冻结顺序（建议直接按此开工）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13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冻结顺序</w:t>
            </w:r>
          </w:p>
        </w:tc>
        <w:tc>
          <w:tcPr>
            <w:tcW w:type="dxa" w:w="3231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对象</w:t>
            </w:r>
          </w:p>
        </w:tc>
        <w:tc>
          <w:tcPr>
            <w:tcW w:type="dxa" w:w="3402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为什么先做</w:t>
            </w:r>
          </w:p>
        </w:tc>
        <w:tc>
          <w:tcPr>
            <w:tcW w:type="dxa" w:w="1814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主执行方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1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region_reference / business_region / project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决定全局经营口径，后续所有模块都会引用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Codex 收口 + Cursor 后端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2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site / site_topology_relation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站点树与地图是现场骨架，前后端必须先统一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 + Lovable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3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asset / device / sim_card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设备接入、日志、运维、财务都会依赖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4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user_account / wallet_account / access_card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扫码、刷卡、充值、退款必须统一口径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5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control_entry / control_topology_rule / irrigation_session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农户极简、后台联动的核心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 主责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6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tariff_scheme / wallet_txn / power_cost_center / monthly_power_bill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经营闭环与利润核算入口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 + 财务口径确认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7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inspection_task / work_order / alert_event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运维闭环入口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 + Lovable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8</w:t>
            </w:r>
          </w:p>
        </w:tc>
        <w:tc>
          <w:tcPr>
            <w:tcW w:type="dxa" w:w="323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device_comm_log / device_telemetry_log / ai_conversation</w:t>
            </w:r>
          </w:p>
        </w:tc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排障与 AI 服务增强层</w:t>
            </w:r>
          </w:p>
        </w:tc>
        <w:tc>
          <w:tcPr>
            <w:tcW w:type="dxa" w:w="181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</w:t>
            </w:r>
          </w:p>
        </w:tc>
      </w:tr>
    </w:tbl>
    <w:p/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12. 第一阶段物理落地建议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生产数据库优先 PostgreSQL + PostGIS；设备时序日志可先放普通表分区，量大后再考虑 TimescaleDB 或独立时序库。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表结构层面统一保留 created_at / updated_at / created_by / updated_by / deleted_flag 等审计字段，本稿未逐表展开，但实际建表必须补齐。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编码字段 code/no 建议以业务可读为主，id 一律使用 uuid；所有金额统一 decimal(14,2)，计量值统一 decimal(14,3) 或更高精度。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所有状态字段尽量收敛为 enum 或受控 varchar，不允许前端自由拼写。</w:t>
      </w:r>
    </w:p>
    <w:p>
      <w:pPr>
        <w:pStyle w:val="ListBullet"/>
        <w:spacing w:after="80" w:line="300" w:lineRule="auto"/>
        <w:ind w:left="283"/>
      </w:pPr>
      <w:r>
        <w:rPr>
          <w:rFonts w:ascii="Noto Sans CJK SC" w:hAnsi="Noto Sans CJK SC" w:eastAsia="Noto Sans CJK SC"/>
          <w:b w:val="0"/>
          <w:color w:val="203324"/>
          <w:sz w:val="20"/>
        </w:rPr>
        <w:t>会话、钱包流水、月度电费、工单、告警这几类表必须有不可逆审计轨迹；不要把历史覆盖成“当前值”。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7ED"/>
            <w:tcBorders>
              <w:left w:val="single" w:sz="8" w:color="9ABD9D"/>
              <w:top w:val="single" w:sz="8" w:color="9ABD9D"/>
              <w:right w:val="single" w:sz="8" w:color="9ABD9D"/>
              <w:bottom w:val="single" w:sz="8" w:color="9ABD9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A7D44"/>
                <w:sz w:val="22"/>
              </w:rPr>
              <w:t>MVP 真正要先跑通的闭环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项目建档 → 站点树建成 → 资产/设备上线 → 农户扫码/刷卡触发会话 → 计费结算 → 电费录入 → 告警转工单 → 管理端看收入与设备状态。</w:t>
            </w:r>
          </w:p>
          <w:p>
            <w:pPr>
              <w:spacing w:after="40" w:line="288" w:lineRule="auto"/>
            </w:pPr>
            <w:r>
              <w:rPr>
                <w:rFonts w:ascii="Noto Sans CJK SC" w:hAnsi="Noto Sans CJK SC" w:eastAsia="Noto Sans CJK SC"/>
                <w:b w:val="0"/>
                <w:color w:val="203324"/>
                <w:sz w:val="20"/>
              </w:rPr>
              <w:t>• 只要这条链先跑通，后续再叠加专变自动分摊、投资分账、AI 自动诊断，就不会推翻底座。</w:t>
            </w:r>
          </w:p>
        </w:tc>
      </w:tr>
    </w:tbl>
    <w:p/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13. 研发协同落点（与你当前开发计划对齐）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247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角色</w:t>
            </w:r>
          </w:p>
        </w:tc>
        <w:tc>
          <w:tcPr>
            <w:tcW w:type="dxa" w:w="4535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建议负责内容</w:t>
            </w:r>
          </w:p>
        </w:tc>
        <w:tc>
          <w:tcPr>
            <w:tcW w:type="dxa" w:w="3798"/>
            <w:vAlign w:val="center"/>
            <w:shd w:fill="DDEBD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color w:val="203324"/>
                <w:sz w:val="20"/>
              </w:rPr>
              <w:t>不要承担的内容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Codex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总调度、contract 冻结、任务拆解、PR review、验收标准</w:t>
            </w:r>
          </w:p>
        </w:tc>
        <w:tc>
          <w:tcPr>
            <w:tcW w:type="dxa" w:w="37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不要长期兼任主力编码与最终裁判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Cursor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后端模型、规则引擎、接口、状态机、日志、测试</w:t>
            </w:r>
          </w:p>
        </w:tc>
        <w:tc>
          <w:tcPr>
            <w:tcW w:type="dxa" w:w="37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不要主导 UI 视觉和页面编排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Lovable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Web 管理端、站点树页、地图页、设备页、工单页、看板页</w:t>
            </w:r>
          </w:p>
        </w:tc>
        <w:tc>
          <w:tcPr>
            <w:tcW w:type="dxa" w:w="37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不要自定义业务联动规则真相</w:t>
            </w:r>
          </w:p>
        </w:tc>
      </w:tr>
      <w:tr>
        <w:tc>
          <w:tcPr>
            <w:tcW w:type="dxa" w:w="124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人工 PM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业务裁决、财务口径确认、灰度上线节奏</w:t>
            </w:r>
          </w:p>
        </w:tc>
        <w:tc>
          <w:tcPr>
            <w:tcW w:type="dxa" w:w="379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8FBF7"/>
          </w:tcPr>
          <w:p>
            <w:pPr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color w:val="203324"/>
                <w:sz w:val="19"/>
              </w:rPr>
              <w:t>不要把规则散落在聊天记录里不回写文档</w:t>
            </w:r>
          </w:p>
        </w:tc>
      </w:tr>
    </w:tbl>
    <w:p/>
    <w:p>
      <w:pPr>
        <w:spacing w:before="280" w:after="120"/>
      </w:pPr>
      <w:r>
        <w:rPr>
          <w:rFonts w:ascii="Noto Sans CJK SC" w:hAnsi="Noto Sans CJK SC" w:eastAsia="Noto Sans CJK SC"/>
          <w:b/>
          <w:color w:val="3A7D44"/>
          <w:sz w:val="32"/>
        </w:rPr>
        <w:t>14. 结论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  <w:color w:val="203324"/>
          <w:sz w:val="21"/>
        </w:rPr>
        <w:t>这套灌溉系统的底层建法，不是“设备管理系统 + 收费系统 + 工单系统”的简单拼接，而是：以 project 为经营主体，以 site 为现场骨架，以 asset 与 device 为执行节点，以 irrigation_session 为消费与财务连接点，以 power_cost_center 为成本归集支点，以 work_order 与 alert_event 为运维闭环入口，以 AI 为增强层。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  <w:color w:val="203324"/>
          <w:sz w:val="21"/>
        </w:rPr>
        <w:t>补充后的正式口径已经明确：农户端必须极简，联动都在后台统一配置和自动执行。这一条应直接写入产品规则、接口规则和前端交互规范，不能在实现阶段被弱化。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/>
          <w:color w:val="3A7D44"/>
          <w:sz w:val="21"/>
        </w:rPr>
        <w:t>本稿建议直接作为下一步《API 清单》《表结构 SQL 草案》《第一阶段开发任务树》的基础版本。</w:t>
      </w:r>
    </w:p>
    <w:p>
      <w:r>
        <w:br w:type="page"/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15. 权限与授权域（本版新增）</w:t>
      </w:r>
    </w:p>
    <w:p>
      <w:pPr>
        <w:spacing w:before="0" w:after="120" w:line="324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权限域是本系统的横向基础域。它既不属于单一业务模块，也不能被拆散到页面逻辑里。建议至少建设“角色、权限点、角色权限映射、范围授权、访问审计、站点子树支撑表”六类核心结构。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15.1 核心权限表建议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表名</w:t>
            </w:r>
          </w:p>
        </w:tc>
        <w:tc>
          <w:tcPr>
            <w:tcW w:type="dxa" w:w="204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作用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主键建议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关键字段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auth_role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定义角色模板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id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code, name, role_type, is_system, status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auth_permission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定义权限点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id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code, name, module, action, risk_level, status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auth_role_permission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角色与权限点映射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id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role_id, permission_id, effect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auth_scope_grant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把角色授权给用户并限定范围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id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principal_type, principal_id, role_id, scope_type, scope_id, valid_from, valid_to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auth_access_audit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记录敏感访问与授权行为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id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user_id, permission_code, scope_type, scope_id, target_type, target_id, result, ip, user_agent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site_closure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支持站点子树授权和查询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复合键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ancestor_site_id, descendant_site_id, depth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15.2 auth_scope_grant 正式口径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657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建模说明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principal_type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一期建议先支持 user；后续可扩展到 org、team、service_account。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role_id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指向 auth_role，不把范围直接写进角色模板。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scope_type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只能是 business_region、project、site_subtree 三类之一。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scope_id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范围对象 ID；site_subtree 情况下指向根站点 ID。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valid_from / valid_to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支持临时授权、代班授权和按周期授权。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grant_source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记录授权来源：平台分配、区域分配、项目分配、审批通过等。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15.3 建议新增的共性字段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对象表</w:t>
            </w:r>
          </w:p>
        </w:tc>
        <w:tc>
          <w:tcPr>
            <w:tcW w:type="dxa" w:w="294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必须携带字段</w:t>
            </w:r>
          </w:p>
        </w:tc>
        <w:tc>
          <w:tcPr>
            <w:tcW w:type="dxa" w:w="3742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权限作用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business_region_id, created_by, updated_by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支持区域范围过滤与操作审计。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project_id, parent_site_id, region_reference_code, site_path 或 site_code_path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支持项目过滤与站点子树下钻。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asset / device / sim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project_id, site_id, created_by, updated_by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支持按项目、站点查询与审计。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wallet / card / session / finance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project_id, site_id(可空), owner_user_id, created_by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确保财务和消费数据能按项目口径严格过滤。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workorder / alarm / telemetry_log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project_id, site_id, assigned_user_id, created_by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支持运维按站点子树查看和处理。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15.4 站点子树授权的实现建议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不要只靠 parent_site_id 递归查询做授权，列表和统计会越来越慢，建议显式维护 site_closure 或 materialized path。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site_subtree 授权应当作用于 site 本身，并通过 site_id 传导到 asset、device、workorder、alarm、telemetry_log、session 等对象。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财务明细与投资分配原则上仍以 project 为主过滤；site_subtree 更适合运维与现场作业，不建议成为最终经营口径真源。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15.5 脱敏与审计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主题</w:t>
            </w:r>
          </w:p>
        </w:tc>
        <w:tc>
          <w:tcPr>
            <w:tcW w:type="dxa" w:w="6690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正式要求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脱敏字段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手机号、身份证、详细住址、银行卡号、SIM ICCID 全量、设备秘钥等。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unmask 权限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只有具备单独 unmask 权限且命中范围的人，才能看到明文。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export 权限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导出必须单独授权；建议导出结果关联审批单号和下载日志。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approve 权限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退款审批、批量导出审批、敏感授权审批不可与普通编辑权限合并。</w:t>
            </w:r>
          </w:p>
        </w:tc>
      </w:tr>
    </w:tbl>
    <w:p/>
    <w:sectPr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85E"/>
        <w:sz w:val="17"/>
      </w:rPr>
      <w:t>内部研发稿  ·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F685E"/>
        <w:sz w:val="17"/>
      </w:rPr>
      <w:t>后稷灌溉 AI 运营系统｜领域模型与表结构草案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