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8"/>
        </w:rPr>
        <w:t>后稷灌溉AI运营系统</w:t>
      </w:r>
    </w:p>
    <w:p>
      <w:pPr>
        <w:pStyle w:val="TitleCN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4"/>
        </w:rPr>
        <w:t>API 清单与状态流转</w:t>
      </w:r>
    </w:p>
    <w:p>
      <w:pPr>
        <w:pStyle w:val="SubtitleCN"/>
        <w:spacing w:after="120"/>
        <w:jc w:val="center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b w:val="0"/>
          <w:sz w:val="26"/>
        </w:rPr>
        <w:t>V1.1  |  面向 Phase 1 灌溉板块研发落地（权限整合版）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sz w:val="23"/>
        </w:rPr>
        <w:t>本版更新摘要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新增认证、授权与范围解析 API。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统一 401 / 403 / 404 / 脱敏返回口径，明确服务端必须做二次范围过滤。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把角色模板、授权记录、高风险审批纳入接口层而不是只停留在后台页面。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适用范围</w:t>
            </w:r>
          </w:p>
        </w:tc>
        <w:tc>
          <w:tcPr>
            <w:tcW w:type="dxa" w:w="646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灌溉板块 Phase 1；覆盖 Web 管理端、移动端、设备接入、财务与运维主干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DFE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适用角色</w:t>
            </w:r>
          </w:p>
        </w:tc>
        <w:tc>
          <w:tcPr>
            <w:tcW w:type="dxa" w:w="646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DFE"/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产品、后端、前端、嵌入式联调、测试、Codex 调度、Cursor 研发、Lovable 前端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DFE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版本日期</w:t>
            </w:r>
          </w:p>
        </w:tc>
        <w:tc>
          <w:tcPr>
            <w:tcW w:type="dxa" w:w="646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DFE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2026-03-25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5F9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>本版冻结原则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农户端只做最简单操作：扫码或刷卡即可，不要求农户理解阀门、水泵、上游链路、互斥关系。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联动关系、上游泵选择、并发限制、计费方案、异常补偿全部由后台统一配置与自动执行。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Project 是经营与核算主体；Project 只挂 business_region_id；站点保留 region_reference.code 作为物理行政位置。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4G 设备以 IMEI 为唯一标识；非 4G 辅助设备以芯片 SN 为唯一标识。</w:t>
            </w:r>
          </w:p>
        </w:tc>
      </w:tr>
    </w:tbl>
    <w:p/>
    <w:p>
      <w:r>
        <w:br w:type="page"/>
      </w:r>
    </w:p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1. 文档目标与使用方式</w:t>
      </w:r>
    </w:p>
    <w:p>
      <w:pPr>
        <w:pStyle w:val="BodyCN"/>
      </w:pPr>
      <w:r>
        <w:rPr>
          <w:rFonts w:ascii="Noto Sans CJK SC" w:hAnsi="Noto Sans CJK SC" w:eastAsia="Noto Sans CJK SC"/>
          <w:b w:val="0"/>
          <w:i w:val="0"/>
          <w:sz w:val="21"/>
        </w:rPr>
        <w:t>本文件用于把灌溉板块从“产品逻辑”推进到“研发可执行”。它回答三件事：第一，前后端与设备接入分别要暴露哪些接口；第二，关键对象如何流转状态；第三，遇到异常、补扣补退、掉线与并发联动时由谁负责收口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后端按本文件冻结资源边界、URL 命名、状态机与异步回调口径。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前端按本文件组织页面请求、轮询、异常提示与操作禁用逻辑。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Codex 按本文件拆任务与验收；Cursor 依据 contract 开发；Lovable 只消费已冻结接口和前端可见状态。</w:t>
      </w:r>
    </w:p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2. 全局 API 约定</w:t>
      </w:r>
    </w:p>
    <w:p>
      <w:pPr>
        <w:pStyle w:val="BodyCN"/>
      </w:pPr>
      <w:r>
        <w:rPr>
          <w:rFonts w:ascii="Noto Sans CJK SC" w:hAnsi="Noto Sans CJK SC" w:eastAsia="Noto Sans CJK SC"/>
          <w:b w:val="0"/>
          <w:i w:val="0"/>
          <w:sz w:val="21"/>
        </w:rPr>
        <w:t>API 统一采用 REST 风格，以 /api/v1 为基路径。对设备接入类接口与控制类接口，在业务上仍归入同一套版本体系，但需使用独立鉴权与幂等控制。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约定项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规则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示例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说明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统一前缀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/api/v1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/api/v1/projects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便于后续平滑演进到 v2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资源命名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复数名词 + 层级资源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/projects/{id}/sites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禁止混用动词型资源名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统一返回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code / message / data / request_id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{ code:0, data:{} }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前后端与日志统一对齐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分页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page / page_size / total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?page=1&amp;page_size=20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列表接口统一分页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筛选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query 参数显式传递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?status=active&amp;site_type=well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避免 body 内隐式筛选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幂等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关键写操作带 Idempotency-Key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充值、退款、启动会话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避免重复扣费与重复启动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时间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 ISO8601 + 时区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2026-03-25T14:03:02+08:00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日志、会话、账务都必须统一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金额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最小货币单位存储</w:t>
            </w:r>
          </w:p>
        </w:tc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fen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后端内部禁用浮点金额</w:t>
            </w:r>
          </w:p>
        </w:tc>
      </w:tr>
    </w:tbl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3. 角色边界与调用面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角色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主要动作</w:t>
            </w:r>
          </w:p>
        </w:tc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调用入口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备注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农户/代办人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扫码、刷卡、查询记录、咨询 AI</w:t>
            </w:r>
          </w:p>
        </w:tc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小程序 / App / H5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必须极简，不暴露后台联动细节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运维人员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巡检、建站选点、安装上报、工单处理</w:t>
            </w:r>
          </w:p>
        </w:tc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移动端 App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站点与资产是主要入口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项目管理者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看项目经营、站点状态、工单进度</w:t>
            </w:r>
          </w:p>
        </w:tc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管理端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以项目视角聚合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财务人员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录入电费、看收入成本利润、处理退款</w:t>
            </w:r>
          </w:p>
        </w:tc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管理端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以项目与成本中心为主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设备侧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上报心跳、遥测、执行结果</w:t>
            </w:r>
          </w:p>
        </w:tc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设备接入 API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IMEI / SN / ICCID 均需可追踪</w:t>
            </w:r>
          </w:p>
        </w:tc>
      </w:tr>
    </w:tbl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4. 模块总览与 API 地图</w:t>
      </w:r>
    </w:p>
    <w:p>
      <w:pPr>
        <w:pStyle w:val="BodyCN"/>
      </w:pPr>
      <w:r>
        <w:rPr>
          <w:rFonts w:ascii="Noto Sans CJK SC" w:hAnsi="Noto Sans CJK SC" w:eastAsia="Noto Sans CJK SC"/>
          <w:b w:val="0"/>
          <w:i w:val="0"/>
          <w:sz w:val="21"/>
        </w:rPr>
        <w:t>建议第一阶段保持模块化单体，但接口边界必须先清晰。以下清单是前后端和嵌入式联调的冻结入口。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模块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资源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典型接口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区域域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region_reference / business_regions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 /regions/reference; POST /business-regions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projects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GET/POST /projects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站点域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sites / site-tree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 /projects/{id}/site-tree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资产设备域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assets / devices / sims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/devices/register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设备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用户消费域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users / wallets / cards / scans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/scans/resolve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H5 / 设备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会话控制域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sessions / control-actions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/sessions/start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H5 / 卡机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计费域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tariffs / packages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 /projects/{id}/tariffs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财务域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cost-centers / bills / refunds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/finance/electric-bills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运维域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inspections / workorders / stock-moves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/workorders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遥测告警域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telemetry / alerts / comm-logs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/telemetry/heartbeat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 / Web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AI 服务域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ai-sessions / ai-routing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/ai/support</w:t>
            </w:r>
          </w:p>
        </w:tc>
        <w:tc>
          <w:tcPr>
            <w:tcW w:type="dxa" w:w="153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Web</w:t>
            </w:r>
          </w:p>
        </w:tc>
        <w:tc>
          <w:tcPr>
            <w:tcW w:type="dxa" w:w="7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4.1 区域与项目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/regions/reference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查询官方行政区真源，按层级与 parent_code 拉取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/business-regions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从行政区引用生成业务区域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/business-regions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查询业务区域树与可选项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创建项目并绑定 business_region_id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项目详情，返回经营摘要与基础配置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/projects/{id}/status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切换项目状态：筹备中 / 建设中 / 运营中 / 暂停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/projects/{id}/dashboard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项目经营与运维摘要聚合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4.2 站点与地图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/projects/{id}/sites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创建站点，支持 parent_site_id 与 region_reference.code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/projects/{id}/site-tree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查询站点树，供树视图与移动端选择器使用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/sites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按类型、状态、区域、项目查询站点列表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/sites/{id}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站点详情，返回站点、资产、设备、会话摘要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/sites/{id}/location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移动端选点回写经纬度与地址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/sites/{id}/lifecycle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安装中 / 启用 / 停用 / 退役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4.3 资产、设备与 SIM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/assets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创建设备资产或普通资产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/assets/{id}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资产详情与履历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/devices/register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设备注册；4G 设备以 IMEI，辅助设备以 SN 注册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 / 嵌入式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/devices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按在线状态、项目、站点、IMEI 查询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/devices/{id}/bindings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绑定站点、资产、控制能力、SIM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/sims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录入运营商卡信息与接口映射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/sims/{id}/usage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查询流量与状态快照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4.4 用户、钱包、实体卡与扫码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/users/register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手机号或微信注册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H5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/users/{id}/wallet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查询余额、冻结额、套餐余额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/wallets/recharge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充值；支持本人或代充值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/wallets/refund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退款申请或人工退款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/cards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发卡、绑卡、换卡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/cards/recharge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实体卡充值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/scans/resolve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解析二维码；返回项目、站点、控制器、可用动作，不暴露联动细节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H5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4.5 会话、控制与计费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/sessions/start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扫码或刷卡启动灌溉会话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H5 / 卡机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/sessions/{id}/stop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用户主动结束会话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H5 / 卡机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/sessions/{id}/heartbeat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会话心跳或前端轮询确认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设备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/sessions/{id}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会话详情：时长、水量、电量、金额、状态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/users/{id}/sessions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用户历史使用记录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/projects/{id}/tariffs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项目可用计费方案与套餐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/control-actions/replay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异常补发控制动作，用于售后排障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4.6 财务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/finance/cost-centers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创建成本中心，支持专变与公变两类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/finance/electric-bills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录入月度电费账单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/finance/cost-allocation/run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执行专变成本分摊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/finance/projects/{id}/profit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项目收入、成本、毛利聚合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/finance/refunds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退款与冲正查询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/finance/investor-settlements/preview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投资者分配预览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4.7 运维、告警与日志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/inspections/plans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创建巡检计划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/inspections/check-ins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移动端巡检签到与记录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/workorders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创建工单：故障 / 安装 / 更换 / 领料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/workorders/{id}/status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工单流转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/stock-moves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领料、退料、报废登记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/telemetry/heartbeat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设备心跳上报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/telemetry/status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遥测状态上报：电量、太阳能、电压、信号等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/telemetry/control-result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设备执行结果回执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/alerts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告警中心查询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/alerts/{id}/status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告警确认、忽略、转工单、关闭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4.8 AI 服务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方法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接口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用途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调用方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优先级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/ai/support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消费者咨询、账单解释、使用指导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 / H5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/ai/ops-diagnosis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结合日志与告警给运维排障建议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/ App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/ai/workorders/triage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工单智能归类与优先级建议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/ai/management-insights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管理者经营分析问答</w:t>
            </w:r>
          </w:p>
        </w:tc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73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</w:tr>
    </w:tbl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5. 农户端极简交互原则与后台联动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5F9F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>必须落实到前后端的交互原则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农户侧只出现两个核心动作：扫码使用 / 刷卡使用。页面上只呈现“可否启动、当前余额、已运行多久、已消费多少、停止按钮”这类极简信息。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阀门、水泵、上游链路、并发关系、供水能力、互斥规则、先开阀再开泵的动作顺序都属于后台配置，农户端不展示、不要求理解。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扫码解析接口只返回当前用户此刻真正需要的信息；前端严禁自行拼装联动逻辑。</w:t>
            </w:r>
          </w:p>
          <w:p>
            <w:pPr>
              <w:pStyle w:val="BodyCN"/>
              <w:ind w:left="68" w:hanging="19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 xml:space="preserve">–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一旦后台策略变更，旧二维码与旧卡流程仍应尽量保持可用，避免因前端缓存导致误操作。</w:t>
            </w:r>
          </w:p>
        </w:tc>
      </w:tr>
    </w:tbl>
    <w:p/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5.1 扫码启动顺序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用户扫码或刷卡。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前端调用 /scans/resolve 或刷卡校验接口，拿到“可启动对象摘要”。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后端根据控制器、站点、项目、余额、计费方案、联动策略、设备状态自动计算本次动作能否发起。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若允许启动，前端只展示“开始使用”按钮；点击后调用 /sessions/start。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后端创建控制会话，自动拆解为阀门动作、水泵动作、校验动作，并持续汇聚遥测数据。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前端只轮询 /sessions/{id}，展示已运行时长、已消费、是否异常、是否可停止。</w:t>
      </w:r>
    </w:p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5.2 联动控制顺序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步骤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后台动作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成功条件</w:t>
            </w:r>
          </w:p>
        </w:tc>
        <w:tc>
          <w:tcPr>
            <w:tcW w:type="dxa" w:w="283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失败补偿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解析扫描对象并找到联动模板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找到控制器、站点、上游泵、阀门组</w:t>
            </w:r>
          </w:p>
        </w:tc>
        <w:tc>
          <w:tcPr>
            <w:tcW w:type="dxa" w:w="283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若配置缺失，直接拒绝启动并返回人工处理提示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前置校验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余额、设备在线、互斥、并发、供水能力全部满足</w:t>
            </w:r>
          </w:p>
        </w:tc>
        <w:tc>
          <w:tcPr>
            <w:tcW w:type="dxa" w:w="283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任何一项失败则不创建执行态会话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执行开阀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阀门反馈到位或达到容错阈值</w:t>
            </w:r>
          </w:p>
        </w:tc>
        <w:tc>
          <w:tcPr>
            <w:tcW w:type="dxa" w:w="283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超时则回滚并结束会话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执行启泵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泵启动成功并有状态回执</w:t>
            </w:r>
          </w:p>
        </w:tc>
        <w:tc>
          <w:tcPr>
            <w:tcW w:type="dxa" w:w="283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启泵失败则自动关阀并退款 / 不扣费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运行中计量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持续写入时长、水量、电量</w:t>
            </w:r>
          </w:p>
        </w:tc>
        <w:tc>
          <w:tcPr>
            <w:tcW w:type="dxa" w:w="283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遥测缺失时进入异常运行态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26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结束会话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关阀、停泵、结算、生成流水</w:t>
            </w:r>
          </w:p>
        </w:tc>
        <w:tc>
          <w:tcPr>
            <w:tcW w:type="dxa" w:w="283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若掉线则进入待补偿态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5.3 一个水泵服务多个电磁阀时的并发原则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会话并发的最小粒度是“支路会话”，不是整个水泵会话。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同一水泵下多个阀门可并发，但必须由后台策略限定最大并发数、互斥支路和优先级。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第一条支路启动时触发开泵；中间支路结束只关本支路阀门；最后一条支路结束时才停泵。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若上游水泵异常，所有关联支路会话统一进入异常结束或待补偿态。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农户端只看到自己的会话，不暴露其他用户是否同时在用。</w:t>
      </w:r>
    </w:p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6. 关键状态流转</w:t>
      </w:r>
    </w:p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6.1 项目状态机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状态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可进入状态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可流向状态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筹备中，尚未形成可运营站点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新建项目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building / paused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building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建设中，可录入站点、资产、设备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planning / paused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trial / paused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trial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试运行，允许小范围消费和联调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building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operating / paused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operating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正式运营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trial / paused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paused / closed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paused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暂停中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planning / building / trial / operating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恢复原状态 / closed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closed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结束或终止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operating / paused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6.2 站点状态机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状态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可进入状态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可流向状态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已建档，未施工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新建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installing / disabled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installing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施工安装中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active / disabled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可运营、可巡检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installing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maintenance / disabled / retired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maintenance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维护中，不可被新会话使用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active / disabled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停用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draft / active / maintenance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active / retired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retired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退役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disabled / active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6.3 资产状态机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状态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可进入状态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可流向状态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in_stock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库存中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采购入库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installing / scrapped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installing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安装中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in_stock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in_use / in_stock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in_use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使用中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installing / repaired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repairing / removed / scrapped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repairing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维修中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in_use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repaired / scrapped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repaired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维修完成待复装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repairing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in_use / in_stock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removed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已拆除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in_use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in_stock / scrapped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scrapped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报废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任意可终结态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6.4 设备在线健康状态机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状态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可进入状态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可流向状态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registered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已注册，尚未稳定上报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设备首次注册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online / offline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online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心跳正常，允许控制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registered / offline / degraded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degraded / offline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degraded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在线但质量下降，例如低电量、弱信号、主电异常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online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online / offline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offline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超过阈值未心跳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registered / online / degraded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online / retired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retired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设备退役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offline / online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6.5 灌溉会话状态机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状态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可进入状态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可流向状态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已受理启动请求，尚未下发执行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/sessions/start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precheck_failed / starting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precheck_failed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启动前校验失败，未扣费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终结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starting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正在执行开阀 / 启泵等联动动作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running / start_failed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start_failed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启动失败，需回滚与提示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starting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ended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运行中，持续采集时长 / 水量 / 电量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starting / recovering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stopping / abnormal / awaiting_compensation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stopping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用户主动停止或后台停止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ended / awaiting_compensation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abnormal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异常运行中，存在告警但尚未强制结束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stopping / awaiting_compensation / ended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awaiting_compensation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掉线、回执丢失或结算信息不足，待补偿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running / stopping / abnormal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compensated / ended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compensated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已完成补扣、补退或人工确认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awaiting_compensation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ended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ended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会话结束，账务冻结为最终结果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precheck_failed / start_failed / stopping / compensated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6.6 工单状态机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状态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可进入状态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可流向状态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已建单，未受理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系统/人工创建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accepted / cancelled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accepted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已接单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in_progress / cancelled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in_progress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处理中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accepted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waiting_parts / resolved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waiting_parts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待领料 / 待备件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in_progress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in_progress / cancelled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resolved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已处理待确认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in_progress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closed / reopened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reopened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复开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resolved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in_progress / closed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closed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已关闭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resolved / reopened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已取消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created / accepted / waiting_parts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</w:tbl>
    <w:p>
      <w:pPr>
        <w:pStyle w:val="Heading2CN"/>
      </w:pPr>
      <w:r>
        <w:rPr>
          <w:rFonts w:ascii="Noto Sans CJK SC" w:hAnsi="Noto Sans CJK SC" w:eastAsia="Noto Sans CJK SC"/>
          <w:b/>
          <w:i w:val="0"/>
          <w:color w:val="244D67"/>
          <w:sz w:val="25"/>
        </w:rPr>
        <w:t>6.7 告警状态机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状态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含义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可进入状态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可流向状态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open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新告警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设备/规则触发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acknowledged / converted / closed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acknowledged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已确认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open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converted / closed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converted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已转工单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open / acknowledged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closed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closed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已关闭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open / acknowledged / converted</w:t>
            </w:r>
          </w:p>
        </w:tc>
        <w:tc>
          <w:tcPr>
            <w:tcW w:type="dxa" w:w="232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无</w:t>
            </w:r>
          </w:p>
        </w:tc>
      </w:tr>
    </w:tbl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7. 异常与补偿闭环</w:t>
      </w:r>
    </w:p>
    <w:p>
      <w:pPr>
        <w:pStyle w:val="BodyCN"/>
      </w:pPr>
      <w:r>
        <w:rPr>
          <w:rFonts w:ascii="Noto Sans CJK SC" w:hAnsi="Noto Sans CJK SC" w:eastAsia="Noto Sans CJK SC"/>
          <w:b w:val="0"/>
          <w:i w:val="0"/>
          <w:sz w:val="21"/>
        </w:rPr>
        <w:t>灌溉系统和普通电商不同，现场控制与账务结算天然存在“设备动作成功但回执失败”“会话结束但前端离线”“电量和水量不完整”等问题，因此补偿逻辑必须前置设计。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异常场景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系统动作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财务口径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前端提示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扫码解析成功，但启动前校验失败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不下发控制、不创建 running 会话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不扣费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提示余额不足 / 设备不可用 / 请稍后再试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开阀成功，启泵失败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执行回滚，关闭已打开阀门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默认不扣费；若已预冻结则自动解冻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提示启动失败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运行中设备掉线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会话进入 awaiting_compensation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先冻结当前结算快照，待回执补偿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提示设备异常，系统处理中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用户停止成功但结算信息缺失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允许结束控制，账务待补偿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进入补扣 / 补退流程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提示已停止，金额稍后确认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重复点击启动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幂等校验，仅保留第一笔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禁止重复扣费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提示正在处理中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实体卡代充值后消费失败</w:t>
            </w:r>
          </w:p>
        </w:tc>
        <w:tc>
          <w:tcPr>
            <w:tcW w:type="dxa" w:w="22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保留充值成功，消费单独失败</w:t>
            </w:r>
          </w:p>
        </w:tc>
        <w:tc>
          <w:tcPr>
            <w:tcW w:type="dxa" w:w="187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卡余额仍可用</w:t>
            </w:r>
          </w:p>
        </w:tc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提示本次未开始使用</w:t>
            </w:r>
          </w:p>
        </w:tc>
      </w:tr>
    </w:tbl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8. 前端页面与接口绑定建议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页面 / 入口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核心接口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前端责任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禁止事项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项目管理页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/projects, /business-regions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只做项目配置与状态展示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禁止把行政区当成业务区域直接写入项目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站点树 / 地图页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/site-tree, /sites/{id}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展示树、地图、层级跳转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禁止前端自行推断站点层级关系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资产设备台账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/assets, /devices, /sims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展示绑定关系与履历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禁止前端以 IMEI / SN 猜测站点归属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扫码使用页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/scans/resolve, /sessions/start, /sessions/{id}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极简显示、轮询状态、停止会话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禁止暴露联动链路细节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刷卡消费入口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/cards/*, /sessions/start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展示刷卡结果与历史记录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禁止把卡余额缓存为最终账务结果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工单中心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/workorders, /alerts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流转、筛选、转工单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禁止直接关闭未处理告警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经营看板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/projects/{id}/dashboard, /finance/*</w:t>
            </w:r>
          </w:p>
        </w:tc>
        <w:tc>
          <w:tcPr>
            <w:tcW w:type="dxa" w:w="20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展示聚合结果</w:t>
            </w:r>
          </w:p>
        </w:tc>
        <w:tc>
          <w:tcPr>
            <w:tcW w:type="dxa" w:w="221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禁止前端自己汇总利润口径</w:t>
            </w:r>
          </w:p>
        </w:tc>
      </w:tr>
    </w:tbl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9. 第一阶段冻结顺序与协同分工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先冻结 8 个 contract：业务区域、项目、站点树、资产 / 设备、用户钱包 / 卡、扫码解析、灌溉会话、电费成本中心。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Codex 负责：规则冻结、接口命名一致性、状态机与异常闭环、PR review、验收标准。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Cursor 负责：后端模型、规则引擎、会话状态机、财务补偿、日志与告警链路。</w:t>
      </w:r>
    </w:p>
    <w:p>
      <w:pPr>
        <w:pStyle w:val="BodyCN"/>
        <w:ind w:left="312" w:hanging="238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Lovable 负责：Web 管理端与移动端页面骨架，只消费已冻结接口，不新增隐式字段。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90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阶段</w:t>
            </w:r>
          </w:p>
        </w:tc>
        <w:tc>
          <w:tcPr>
            <w:tcW w:type="dxa" w:w="26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输出物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主责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CECF7"/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8"/>
              </w:rPr>
              <w:t>完成标准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Step 1</w:t>
            </w:r>
          </w:p>
        </w:tc>
        <w:tc>
          <w:tcPr>
            <w:tcW w:type="dxa" w:w="26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资源与状态冻结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Codex + 产品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接口名、字段、状态名不可再随意漂移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Step 2</w:t>
            </w:r>
          </w:p>
        </w:tc>
        <w:tc>
          <w:tcPr>
            <w:tcW w:type="dxa" w:w="26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后端基础模型与 mock API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Cursor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站点、设备、会话、钱包、工单可联调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Step 3</w:t>
            </w:r>
          </w:p>
        </w:tc>
        <w:tc>
          <w:tcPr>
            <w:tcW w:type="dxa" w:w="26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管理端页面骨架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Lovable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 / 站点 / 资产 / 设备 / 工单页跑通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Step 4</w:t>
            </w:r>
          </w:p>
        </w:tc>
        <w:tc>
          <w:tcPr>
            <w:tcW w:type="dxa" w:w="26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扫码与刷卡闭环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Cursor + Lovable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能启动、能停止、能看记录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Step 5</w:t>
            </w:r>
          </w:p>
        </w:tc>
        <w:tc>
          <w:tcPr>
            <w:tcW w:type="dxa" w:w="26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电费录入与基础经营看板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Cursor + Lovable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收入成本利润口径闭环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Step 6</w:t>
            </w:r>
          </w:p>
        </w:tc>
        <w:tc>
          <w:tcPr>
            <w:tcW w:type="dxa" w:w="266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告警 / 工单 / 日志增强</w:t>
            </w:r>
          </w:p>
        </w:tc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Cursor</w:t>
            </w:r>
          </w:p>
        </w:tc>
        <w:tc>
          <w:tcPr>
            <w:tcW w:type="dxa" w:w="255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pStyle w:val="SmallTableCN"/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运维闭环可用</w:t>
            </w:r>
          </w:p>
        </w:tc>
      </w:tr>
    </w:tbl>
    <w:p>
      <w:pPr>
        <w:pStyle w:val="Heading1CN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10. 本版结论</w:t>
      </w:r>
    </w:p>
    <w:p>
      <w:pPr>
        <w:pStyle w:val="BodyCN"/>
      </w:pPr>
      <w:r>
        <w:rPr>
          <w:rFonts w:ascii="Noto Sans CJK SC" w:hAnsi="Noto Sans CJK SC" w:eastAsia="Noto Sans CJK SC"/>
          <w:b w:val="0"/>
          <w:i w:val="0"/>
          <w:sz w:val="21"/>
        </w:rPr>
        <w:t>本版 API 与状态流转方案的核心，不是把所有对象做得更复杂，而是把农户端做得更简单，把复杂性收进后台。灌溉业务真正需要冻结的是：项目口径、站点树、资产与设备分层、扫码/刷卡统一会话、联动策略后台化、异常补偿前置设计。只要这六件事先收住，前后端和设备接入就能开始稳定并行研发。</w:t>
      </w:r>
    </w:p>
    <w:p>
      <w:r>
        <w:br w:type="page"/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11. 认证、授权与范围解析 API（本版新增）</w:t>
      </w:r>
    </w:p>
    <w:p>
      <w:pPr>
        <w:spacing w:before="0" w:after="120" w:line="324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本系统的接口权限不是简单 RBAC，而是“角色模板 + 权限点 + 范围授权 + 高风险动作审批”的组合。前端可以根据 /me 能力做展示裁剪，但所有真实控制都必须以后端鉴权结果为准。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11.1 鉴权求值顺序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先鉴别身份：用户是否已登录、token 是否有效、是否命中登录态与设备态要求。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再校验权限点：例如 session.execute、wallet.refund.approve、finance.export、site.update。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最后解析范围：business_region / project / site_subtree 是否覆盖当前资源。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若涉及高风险动作，还需检查 approve / export / execute / unmask 等附加权限与审批单。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11.2 新增 API 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72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接口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方法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用途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关键返回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/api/v1/auth/roles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GET/POST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角色模板查询与维护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role list / role detail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/api/v1/auth/permissions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GET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权限点目录查询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permission catalog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/api/v1/auth/grants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GET/POST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用户范围授权查询与新增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grant record / status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/api/v1/auth/grants/{id}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PATCH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停用、调整有效期、收回授权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updated grant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/api/v1/auth/me/capabilities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GET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给前端返回当前用户功能点与范围摘要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menu, action, scope summary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/api/v1/auth/access-checks:batch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POST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批量判断若干资源上的操作可用性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allowed / denied matrix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/api/v1/auth/high-risk-approvals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POST/GET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导出、退款审批、批量控制审批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approval status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11.3 统一错误口径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返回</w:t>
            </w:r>
          </w:p>
        </w:tc>
        <w:tc>
          <w:tcPr>
            <w:tcW w:type="dxa" w:w="657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正式口径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401 Unauthorized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未登录、登录过期、签名不合法、设备密钥无效。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403 Forbidden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已登录但缺权限点，或权限点存在但范围不覆盖。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404 Not Found（范围掩蔽）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对不应暴露存在性的资源，可返回 404 以避免探测。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200 with masked fields</w:t>
            </w:r>
          </w:p>
        </w:tc>
        <w:tc>
          <w:tcPr>
            <w:tcW w:type="dxa" w:w="657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对象可见但敏感字段被遮蔽时返回脱敏版本，并附 masked=true。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11.4 前后端交互约束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前端菜单、按钮、导出入口可以依据 /auth/me/capabilities 提前裁剪，但不能替代后端鉴权。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列表接口必须在服务端按范围过滤，而不是让前端拉全量后再本地过滤。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批量操作前建议调用 /access-checks:batch，对一组资源逐条返回 allowed / denied，避免部分执行后才报错。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AI 类接口在内部调用数据接口时，也必须携带调用者身份与范围上下文。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12. 对现有业务 API 的权限补充要求（本版新增）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模块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必须校验</w:t>
            </w:r>
          </w:p>
        </w:tc>
        <w:tc>
          <w:tcPr>
            <w:tcW w:type="dxa" w:w="294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建议默认范围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区域与项目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project.read / project.update / project.grant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business_region 或 project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站点、资产、设备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site.read / asset.update / device.execute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 或 site_subtree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钱包、退款、财务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wallet.read / refund.approve / finance.export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工单、告警、日志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workorder.update / alarm.ack / telemetry.read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site_subtree 或 project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AI 服务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ai.ask + 底层数据权限继承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继承当前用户范围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 xml:space="preserve">后稷灌溉AI运营系统 - API清单与状态流转 V1.0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i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N">
    <w:name w:val="Body CN"/>
    <w:basedOn w:val="Normal"/>
    <w:pPr>
      <w:spacing w:after="80" w:line="307" w:lineRule="auto"/>
    </w:pPr>
    <w:rPr>
      <w:rFonts w:ascii="Noto Sans CJK SC" w:hAnsi="Noto Sans CJK SC" w:eastAsia="Noto Sans CJK SC"/>
      <w:b w:val="0"/>
      <w:color w:val="222222"/>
      <w:sz w:val="21"/>
    </w:rPr>
  </w:style>
  <w:style w:type="paragraph" w:customStyle="1" w:styleId="TitleCN">
    <w:name w:val="Title CN"/>
    <w:basedOn w:val="Title"/>
    <w:pPr>
      <w:spacing w:after="120"/>
    </w:pPr>
    <w:rPr>
      <w:rFonts w:ascii="Noto Sans CJK SC" w:hAnsi="Noto Sans CJK SC" w:eastAsia="Noto Sans CJK SC"/>
      <w:b/>
      <w:color w:val="1F4E79"/>
      <w:sz w:val="48"/>
    </w:rPr>
  </w:style>
  <w:style w:type="paragraph" w:customStyle="1" w:styleId="SubtitleCN">
    <w:name w:val="Subtitle CN"/>
    <w:basedOn w:val="Subtitle"/>
    <w:rPr>
      <w:rFonts w:ascii="Noto Sans CJK SC" w:hAnsi="Noto Sans CJK SC" w:eastAsia="Noto Sans CJK SC"/>
      <w:b w:val="0"/>
      <w:color w:val="5A5A5A"/>
      <w:sz w:val="24"/>
    </w:rPr>
  </w:style>
  <w:style w:type="paragraph" w:customStyle="1" w:styleId="Heading1CN">
    <w:name w:val="Heading 1 CN"/>
    <w:basedOn w:val="Heading1"/>
    <w:pPr>
      <w:keepNext/>
      <w:spacing w:before="200" w:after="80"/>
    </w:pPr>
    <w:rPr>
      <w:rFonts w:ascii="Noto Sans CJK SC" w:hAnsi="Noto Sans CJK SC" w:eastAsia="Noto Sans CJK SC"/>
      <w:b/>
      <w:color w:val="1F4E79"/>
      <w:sz w:val="30"/>
    </w:rPr>
  </w:style>
  <w:style w:type="paragraph" w:customStyle="1" w:styleId="Heading2CN">
    <w:name w:val="Heading 2 CN"/>
    <w:basedOn w:val="Heading2"/>
    <w:pPr>
      <w:keepNext/>
      <w:spacing w:before="200" w:after="80"/>
    </w:pPr>
    <w:rPr>
      <w:rFonts w:ascii="Noto Sans CJK SC" w:hAnsi="Noto Sans CJK SC" w:eastAsia="Noto Sans CJK SC"/>
      <w:b/>
      <w:color w:val="244D67"/>
      <w:sz w:val="25"/>
    </w:rPr>
  </w:style>
  <w:style w:type="paragraph" w:customStyle="1" w:styleId="Heading3CN">
    <w:name w:val="Heading 3 CN"/>
    <w:basedOn w:val="Heading3"/>
    <w:pPr>
      <w:keepNext/>
      <w:spacing w:before="200" w:after="80"/>
    </w:pPr>
    <w:rPr>
      <w:rFonts w:ascii="Noto Sans CJK SC" w:hAnsi="Noto Sans CJK SC" w:eastAsia="Noto Sans CJK SC"/>
      <w:b/>
      <w:color w:val="244D67"/>
      <w:sz w:val="22"/>
    </w:rPr>
  </w:style>
  <w:style w:type="paragraph" w:customStyle="1" w:styleId="SmallTableCN">
    <w:name w:val="Small Table CN"/>
    <w:basedOn w:val="Normal"/>
    <w:pPr>
      <w:spacing w:after="0" w:line="269" w:lineRule="auto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