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rPr>
          <w:rFonts w:hint="eastAsia"/>
        </w:rPr>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rPr>
          <w:rFonts w:hint="eastAsia"/>
        </w:rPr>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rPr>
          <w:rFonts w:hint="eastAsia"/>
        </w:rPr>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rPr>
          <w:rFonts w:hint="eastAsia"/>
        </w:rPr>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rPr>
          <w:rFonts w:hint="eastAsia"/>
        </w:rPr>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bookmarkStart w:id="0" w:name="_GoBack"/>
      <w:bookmarkEnd w:id="0"/>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2E7BAB" w:rsidRDefault="002E7BAB" w:rsidP="002669BE">
      <w:pPr>
        <w:pStyle w:val="3"/>
      </w:pPr>
      <w:r>
        <w:rPr>
          <w:rFonts w:hint="eastAsia"/>
        </w:rPr>
        <w:t>2</w:t>
      </w:r>
      <w:r>
        <w:t>.4</w:t>
      </w:r>
      <w:r>
        <w:rPr>
          <w:rFonts w:hint="eastAsia"/>
        </w:rPr>
        <w:t>.</w:t>
      </w:r>
      <w:r>
        <w:t>2 DNS</w:t>
      </w:r>
      <w:r>
        <w:t>工作原理</w:t>
      </w:r>
    </w:p>
    <w:p w:rsidR="002E7BAB" w:rsidRPr="00DE6F31" w:rsidRDefault="002E7BAB" w:rsidP="002669BE">
      <w:pPr>
        <w:pStyle w:val="3"/>
      </w:pPr>
      <w:r>
        <w:rPr>
          <w:rFonts w:hint="eastAsia"/>
        </w:rPr>
        <w:t>2</w:t>
      </w:r>
      <w:r>
        <w:t>.4</w:t>
      </w:r>
      <w:r>
        <w:rPr>
          <w:rFonts w:hint="eastAsia"/>
        </w:rPr>
        <w:t>.</w:t>
      </w:r>
      <w:r>
        <w:t>3 DNS</w:t>
      </w:r>
      <w:r>
        <w:t>记录和报文</w:t>
      </w:r>
    </w:p>
    <w:p w:rsidR="002E7BAB" w:rsidRDefault="002E7BAB" w:rsidP="002669BE">
      <w:pPr>
        <w:pStyle w:val="2"/>
      </w:pPr>
      <w:r>
        <w:rPr>
          <w:rFonts w:hint="eastAsia"/>
        </w:rPr>
        <w:t>2</w:t>
      </w:r>
      <w:r>
        <w:t>.5 P2P</w:t>
      </w:r>
      <w:r>
        <w:t>文件分发</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Default="00827587"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B509BF" w:rsidRDefault="00B509BF"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95" w:rsidRDefault="00B22395" w:rsidP="00AF0E43">
      <w:pPr>
        <w:ind w:firstLine="420"/>
      </w:pPr>
      <w:r>
        <w:separator/>
      </w:r>
    </w:p>
  </w:endnote>
  <w:endnote w:type="continuationSeparator" w:id="0">
    <w:p w:rsidR="00B22395" w:rsidRDefault="00B22395"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95" w:rsidRDefault="00B22395" w:rsidP="00AF0E43">
      <w:pPr>
        <w:ind w:firstLine="420"/>
      </w:pPr>
      <w:r>
        <w:separator/>
      </w:r>
    </w:p>
  </w:footnote>
  <w:footnote w:type="continuationSeparator" w:id="0">
    <w:p w:rsidR="00B22395" w:rsidRDefault="00B22395"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6"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7"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7"/>
  </w:num>
  <w:num w:numId="6">
    <w:abstractNumId w:val="14"/>
  </w:num>
  <w:num w:numId="7">
    <w:abstractNumId w:val="18"/>
  </w:num>
  <w:num w:numId="8">
    <w:abstractNumId w:val="5"/>
  </w:num>
  <w:num w:numId="9">
    <w:abstractNumId w:val="2"/>
  </w:num>
  <w:num w:numId="10">
    <w:abstractNumId w:val="11"/>
  </w:num>
  <w:num w:numId="11">
    <w:abstractNumId w:val="25"/>
  </w:num>
  <w:num w:numId="12">
    <w:abstractNumId w:val="6"/>
  </w:num>
  <w:num w:numId="13">
    <w:abstractNumId w:val="13"/>
  </w:num>
  <w:num w:numId="14">
    <w:abstractNumId w:val="22"/>
  </w:num>
  <w:num w:numId="15">
    <w:abstractNumId w:val="24"/>
  </w:num>
  <w:num w:numId="16">
    <w:abstractNumId w:val="23"/>
  </w:num>
  <w:num w:numId="17">
    <w:abstractNumId w:val="3"/>
  </w:num>
  <w:num w:numId="18">
    <w:abstractNumId w:val="21"/>
  </w:num>
  <w:num w:numId="19">
    <w:abstractNumId w:val="0"/>
  </w:num>
  <w:num w:numId="20">
    <w:abstractNumId w:val="7"/>
  </w:num>
  <w:num w:numId="21">
    <w:abstractNumId w:val="16"/>
  </w:num>
  <w:num w:numId="22">
    <w:abstractNumId w:val="15"/>
  </w:num>
  <w:num w:numId="23">
    <w:abstractNumId w:val="20"/>
  </w:num>
  <w:num w:numId="24">
    <w:abstractNumId w:val="10"/>
  </w:num>
  <w:num w:numId="25">
    <w:abstractNumId w:val="8"/>
  </w:num>
  <w:num w:numId="26">
    <w:abstractNumId w:val="27"/>
  </w:num>
  <w:num w:numId="27">
    <w:abstractNumId w:val="19"/>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160C"/>
    <w:rsid w:val="00014BE8"/>
    <w:rsid w:val="00034E2B"/>
    <w:rsid w:val="00037A7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7308A"/>
    <w:rsid w:val="00176D04"/>
    <w:rsid w:val="00177D1A"/>
    <w:rsid w:val="00180958"/>
    <w:rsid w:val="00180BF8"/>
    <w:rsid w:val="00183FD2"/>
    <w:rsid w:val="0018641A"/>
    <w:rsid w:val="00191A11"/>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76EC"/>
    <w:rsid w:val="002B1B42"/>
    <w:rsid w:val="002B4738"/>
    <w:rsid w:val="002B4FEA"/>
    <w:rsid w:val="002B67A4"/>
    <w:rsid w:val="002B7E80"/>
    <w:rsid w:val="002C611B"/>
    <w:rsid w:val="002E14A0"/>
    <w:rsid w:val="002E686A"/>
    <w:rsid w:val="002E77C2"/>
    <w:rsid w:val="002E7BAB"/>
    <w:rsid w:val="002F4912"/>
    <w:rsid w:val="002F5C94"/>
    <w:rsid w:val="003017F9"/>
    <w:rsid w:val="00302DDC"/>
    <w:rsid w:val="00302FF0"/>
    <w:rsid w:val="00305DC6"/>
    <w:rsid w:val="00307064"/>
    <w:rsid w:val="003137BF"/>
    <w:rsid w:val="00334698"/>
    <w:rsid w:val="003348EF"/>
    <w:rsid w:val="00334FC8"/>
    <w:rsid w:val="00341F02"/>
    <w:rsid w:val="003436D7"/>
    <w:rsid w:val="00343C73"/>
    <w:rsid w:val="00347BBF"/>
    <w:rsid w:val="00350ACF"/>
    <w:rsid w:val="00374A5D"/>
    <w:rsid w:val="00375200"/>
    <w:rsid w:val="003809BD"/>
    <w:rsid w:val="00381EEC"/>
    <w:rsid w:val="0038758C"/>
    <w:rsid w:val="00396029"/>
    <w:rsid w:val="003A21B3"/>
    <w:rsid w:val="003A5C20"/>
    <w:rsid w:val="003B000A"/>
    <w:rsid w:val="003B0980"/>
    <w:rsid w:val="003C2972"/>
    <w:rsid w:val="003C41EF"/>
    <w:rsid w:val="003D1827"/>
    <w:rsid w:val="003D283A"/>
    <w:rsid w:val="003D687F"/>
    <w:rsid w:val="003D6959"/>
    <w:rsid w:val="003E1A7D"/>
    <w:rsid w:val="003E5198"/>
    <w:rsid w:val="003E666F"/>
    <w:rsid w:val="003E67B8"/>
    <w:rsid w:val="003F1D03"/>
    <w:rsid w:val="003F4566"/>
    <w:rsid w:val="003F6FAB"/>
    <w:rsid w:val="00404857"/>
    <w:rsid w:val="0040611D"/>
    <w:rsid w:val="00411352"/>
    <w:rsid w:val="00414A8C"/>
    <w:rsid w:val="0042597F"/>
    <w:rsid w:val="00426B71"/>
    <w:rsid w:val="0043060A"/>
    <w:rsid w:val="004329A3"/>
    <w:rsid w:val="00433D44"/>
    <w:rsid w:val="0043498E"/>
    <w:rsid w:val="0044531B"/>
    <w:rsid w:val="0044571E"/>
    <w:rsid w:val="00456494"/>
    <w:rsid w:val="00477452"/>
    <w:rsid w:val="00481F3F"/>
    <w:rsid w:val="00482457"/>
    <w:rsid w:val="004837BD"/>
    <w:rsid w:val="00487D68"/>
    <w:rsid w:val="00495B32"/>
    <w:rsid w:val="004A12B8"/>
    <w:rsid w:val="004A25D4"/>
    <w:rsid w:val="004A41C8"/>
    <w:rsid w:val="004C02C1"/>
    <w:rsid w:val="004C6145"/>
    <w:rsid w:val="004D0522"/>
    <w:rsid w:val="004D0FC7"/>
    <w:rsid w:val="004D531F"/>
    <w:rsid w:val="004D5705"/>
    <w:rsid w:val="004D78C8"/>
    <w:rsid w:val="004E06FD"/>
    <w:rsid w:val="004E318D"/>
    <w:rsid w:val="004E3CF1"/>
    <w:rsid w:val="004E794D"/>
    <w:rsid w:val="004F12BE"/>
    <w:rsid w:val="004F446A"/>
    <w:rsid w:val="004F5FCB"/>
    <w:rsid w:val="00504E85"/>
    <w:rsid w:val="0050661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72EDB"/>
    <w:rsid w:val="005902AE"/>
    <w:rsid w:val="005971B6"/>
    <w:rsid w:val="005A0362"/>
    <w:rsid w:val="005A2FE6"/>
    <w:rsid w:val="005B2738"/>
    <w:rsid w:val="005B6577"/>
    <w:rsid w:val="005C6BAA"/>
    <w:rsid w:val="005D395B"/>
    <w:rsid w:val="005D5681"/>
    <w:rsid w:val="005E038A"/>
    <w:rsid w:val="005E4188"/>
    <w:rsid w:val="005E48C3"/>
    <w:rsid w:val="005E592F"/>
    <w:rsid w:val="005F1625"/>
    <w:rsid w:val="005F2E8C"/>
    <w:rsid w:val="00605661"/>
    <w:rsid w:val="006063E2"/>
    <w:rsid w:val="00612583"/>
    <w:rsid w:val="00614778"/>
    <w:rsid w:val="00640629"/>
    <w:rsid w:val="006426F4"/>
    <w:rsid w:val="0064327A"/>
    <w:rsid w:val="00643E29"/>
    <w:rsid w:val="00646B1D"/>
    <w:rsid w:val="00652822"/>
    <w:rsid w:val="006537E2"/>
    <w:rsid w:val="0066473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6E0"/>
    <w:rsid w:val="006E7DF5"/>
    <w:rsid w:val="006F093C"/>
    <w:rsid w:val="006F2D38"/>
    <w:rsid w:val="006F404A"/>
    <w:rsid w:val="00701A2B"/>
    <w:rsid w:val="0070308F"/>
    <w:rsid w:val="00704C4C"/>
    <w:rsid w:val="00717A65"/>
    <w:rsid w:val="0072064E"/>
    <w:rsid w:val="007253F6"/>
    <w:rsid w:val="00742CF1"/>
    <w:rsid w:val="00743FF4"/>
    <w:rsid w:val="0075008D"/>
    <w:rsid w:val="0076481C"/>
    <w:rsid w:val="0077220B"/>
    <w:rsid w:val="0077416C"/>
    <w:rsid w:val="00780434"/>
    <w:rsid w:val="00781945"/>
    <w:rsid w:val="00781D24"/>
    <w:rsid w:val="00784444"/>
    <w:rsid w:val="00784554"/>
    <w:rsid w:val="00787BD0"/>
    <w:rsid w:val="00793A79"/>
    <w:rsid w:val="00795141"/>
    <w:rsid w:val="007A4436"/>
    <w:rsid w:val="007B1EE7"/>
    <w:rsid w:val="007B2F35"/>
    <w:rsid w:val="007B5ACC"/>
    <w:rsid w:val="007B6EC9"/>
    <w:rsid w:val="007B778F"/>
    <w:rsid w:val="007D15BE"/>
    <w:rsid w:val="007D42E4"/>
    <w:rsid w:val="007D43C4"/>
    <w:rsid w:val="007E7751"/>
    <w:rsid w:val="007F241D"/>
    <w:rsid w:val="007F268F"/>
    <w:rsid w:val="007F4F6A"/>
    <w:rsid w:val="007F69CC"/>
    <w:rsid w:val="00800A93"/>
    <w:rsid w:val="008013D6"/>
    <w:rsid w:val="0080252D"/>
    <w:rsid w:val="00810590"/>
    <w:rsid w:val="008129C7"/>
    <w:rsid w:val="00816E62"/>
    <w:rsid w:val="0082534D"/>
    <w:rsid w:val="00827587"/>
    <w:rsid w:val="0083692D"/>
    <w:rsid w:val="0084218D"/>
    <w:rsid w:val="00847415"/>
    <w:rsid w:val="00856136"/>
    <w:rsid w:val="0086189E"/>
    <w:rsid w:val="008625AB"/>
    <w:rsid w:val="008634F4"/>
    <w:rsid w:val="00864877"/>
    <w:rsid w:val="00867F21"/>
    <w:rsid w:val="00876E21"/>
    <w:rsid w:val="008778EC"/>
    <w:rsid w:val="00880386"/>
    <w:rsid w:val="00882168"/>
    <w:rsid w:val="00886048"/>
    <w:rsid w:val="0088707F"/>
    <w:rsid w:val="008A2A61"/>
    <w:rsid w:val="008A3475"/>
    <w:rsid w:val="008A6798"/>
    <w:rsid w:val="008C71DC"/>
    <w:rsid w:val="008D5106"/>
    <w:rsid w:val="008D6826"/>
    <w:rsid w:val="008D751A"/>
    <w:rsid w:val="008D7D95"/>
    <w:rsid w:val="008E4BD6"/>
    <w:rsid w:val="008E5757"/>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71026"/>
    <w:rsid w:val="009714EF"/>
    <w:rsid w:val="00984693"/>
    <w:rsid w:val="0098553D"/>
    <w:rsid w:val="00994FC7"/>
    <w:rsid w:val="00997C78"/>
    <w:rsid w:val="009A0824"/>
    <w:rsid w:val="009C379A"/>
    <w:rsid w:val="009E25CE"/>
    <w:rsid w:val="009E5B75"/>
    <w:rsid w:val="009E777A"/>
    <w:rsid w:val="009F0710"/>
    <w:rsid w:val="009F39B6"/>
    <w:rsid w:val="009F75A4"/>
    <w:rsid w:val="00A053B4"/>
    <w:rsid w:val="00A05C8C"/>
    <w:rsid w:val="00A06289"/>
    <w:rsid w:val="00A0743A"/>
    <w:rsid w:val="00A13A1D"/>
    <w:rsid w:val="00A147CD"/>
    <w:rsid w:val="00A17931"/>
    <w:rsid w:val="00A23678"/>
    <w:rsid w:val="00A24855"/>
    <w:rsid w:val="00A329F0"/>
    <w:rsid w:val="00A42CF0"/>
    <w:rsid w:val="00A46F1E"/>
    <w:rsid w:val="00A572AE"/>
    <w:rsid w:val="00A57443"/>
    <w:rsid w:val="00A578D3"/>
    <w:rsid w:val="00A653A9"/>
    <w:rsid w:val="00A71123"/>
    <w:rsid w:val="00A7201D"/>
    <w:rsid w:val="00A755AA"/>
    <w:rsid w:val="00A7605D"/>
    <w:rsid w:val="00A83C8A"/>
    <w:rsid w:val="00A93460"/>
    <w:rsid w:val="00A95862"/>
    <w:rsid w:val="00A97E75"/>
    <w:rsid w:val="00AA5900"/>
    <w:rsid w:val="00AB4235"/>
    <w:rsid w:val="00AB6E43"/>
    <w:rsid w:val="00AC072B"/>
    <w:rsid w:val="00AD0E9D"/>
    <w:rsid w:val="00AD4264"/>
    <w:rsid w:val="00AE102B"/>
    <w:rsid w:val="00AE4647"/>
    <w:rsid w:val="00AF0E43"/>
    <w:rsid w:val="00AF203E"/>
    <w:rsid w:val="00AF3455"/>
    <w:rsid w:val="00AF533A"/>
    <w:rsid w:val="00AF72B2"/>
    <w:rsid w:val="00AF7F47"/>
    <w:rsid w:val="00B01627"/>
    <w:rsid w:val="00B0363C"/>
    <w:rsid w:val="00B12F6D"/>
    <w:rsid w:val="00B15A69"/>
    <w:rsid w:val="00B17F89"/>
    <w:rsid w:val="00B20883"/>
    <w:rsid w:val="00B20BE5"/>
    <w:rsid w:val="00B22395"/>
    <w:rsid w:val="00B24069"/>
    <w:rsid w:val="00B277E0"/>
    <w:rsid w:val="00B33B7F"/>
    <w:rsid w:val="00B365F3"/>
    <w:rsid w:val="00B468AB"/>
    <w:rsid w:val="00B509BF"/>
    <w:rsid w:val="00B55FD0"/>
    <w:rsid w:val="00B60C64"/>
    <w:rsid w:val="00B60F12"/>
    <w:rsid w:val="00B61D57"/>
    <w:rsid w:val="00B645FB"/>
    <w:rsid w:val="00B67F61"/>
    <w:rsid w:val="00B77AD4"/>
    <w:rsid w:val="00B82454"/>
    <w:rsid w:val="00B83B31"/>
    <w:rsid w:val="00B910D2"/>
    <w:rsid w:val="00B94566"/>
    <w:rsid w:val="00BA4FCE"/>
    <w:rsid w:val="00BA5CA2"/>
    <w:rsid w:val="00BB3D71"/>
    <w:rsid w:val="00BD20BF"/>
    <w:rsid w:val="00BD2B48"/>
    <w:rsid w:val="00BD72E2"/>
    <w:rsid w:val="00BE714F"/>
    <w:rsid w:val="00BF255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37BB"/>
    <w:rsid w:val="00C83E4A"/>
    <w:rsid w:val="00C84994"/>
    <w:rsid w:val="00CA4968"/>
    <w:rsid w:val="00CA77A5"/>
    <w:rsid w:val="00CA78C6"/>
    <w:rsid w:val="00CB5ED0"/>
    <w:rsid w:val="00CB6CF0"/>
    <w:rsid w:val="00CC0BBF"/>
    <w:rsid w:val="00CC46BB"/>
    <w:rsid w:val="00CC5290"/>
    <w:rsid w:val="00CC6C63"/>
    <w:rsid w:val="00CE242A"/>
    <w:rsid w:val="00CF0FDC"/>
    <w:rsid w:val="00CF3E65"/>
    <w:rsid w:val="00CF7E13"/>
    <w:rsid w:val="00D15DF6"/>
    <w:rsid w:val="00D2150C"/>
    <w:rsid w:val="00D221F0"/>
    <w:rsid w:val="00D23702"/>
    <w:rsid w:val="00D23E83"/>
    <w:rsid w:val="00D24EAA"/>
    <w:rsid w:val="00D258B3"/>
    <w:rsid w:val="00D30964"/>
    <w:rsid w:val="00D339BE"/>
    <w:rsid w:val="00D378E6"/>
    <w:rsid w:val="00D41B28"/>
    <w:rsid w:val="00D421EB"/>
    <w:rsid w:val="00D4447F"/>
    <w:rsid w:val="00D50DF4"/>
    <w:rsid w:val="00D56267"/>
    <w:rsid w:val="00D56A68"/>
    <w:rsid w:val="00D710EE"/>
    <w:rsid w:val="00D72503"/>
    <w:rsid w:val="00D73708"/>
    <w:rsid w:val="00D73E5F"/>
    <w:rsid w:val="00D74A01"/>
    <w:rsid w:val="00D76377"/>
    <w:rsid w:val="00D77099"/>
    <w:rsid w:val="00D8047B"/>
    <w:rsid w:val="00D83E2F"/>
    <w:rsid w:val="00D8411E"/>
    <w:rsid w:val="00D85809"/>
    <w:rsid w:val="00D85ED4"/>
    <w:rsid w:val="00D86BE2"/>
    <w:rsid w:val="00DA03B2"/>
    <w:rsid w:val="00DA209C"/>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369"/>
    <w:rsid w:val="00DF1494"/>
    <w:rsid w:val="00DF4674"/>
    <w:rsid w:val="00E01031"/>
    <w:rsid w:val="00E032CE"/>
    <w:rsid w:val="00E06609"/>
    <w:rsid w:val="00E116E6"/>
    <w:rsid w:val="00E11A84"/>
    <w:rsid w:val="00E16D52"/>
    <w:rsid w:val="00E177D1"/>
    <w:rsid w:val="00E20C7E"/>
    <w:rsid w:val="00E220B6"/>
    <w:rsid w:val="00E22C6A"/>
    <w:rsid w:val="00E35E6C"/>
    <w:rsid w:val="00E379DB"/>
    <w:rsid w:val="00E42F47"/>
    <w:rsid w:val="00E44660"/>
    <w:rsid w:val="00E60FF9"/>
    <w:rsid w:val="00E62027"/>
    <w:rsid w:val="00E65AC4"/>
    <w:rsid w:val="00E719BD"/>
    <w:rsid w:val="00E7287C"/>
    <w:rsid w:val="00E73CC1"/>
    <w:rsid w:val="00E74E93"/>
    <w:rsid w:val="00E77525"/>
    <w:rsid w:val="00E84CA5"/>
    <w:rsid w:val="00E866C8"/>
    <w:rsid w:val="00E87E60"/>
    <w:rsid w:val="00EA05DF"/>
    <w:rsid w:val="00EB03E3"/>
    <w:rsid w:val="00EB5AC3"/>
    <w:rsid w:val="00EB5ED3"/>
    <w:rsid w:val="00EB725D"/>
    <w:rsid w:val="00ED10C6"/>
    <w:rsid w:val="00ED3398"/>
    <w:rsid w:val="00ED3A16"/>
    <w:rsid w:val="00F01528"/>
    <w:rsid w:val="00F11667"/>
    <w:rsid w:val="00F12720"/>
    <w:rsid w:val="00F14134"/>
    <w:rsid w:val="00F276CE"/>
    <w:rsid w:val="00F32C3A"/>
    <w:rsid w:val="00F444CA"/>
    <w:rsid w:val="00F522CB"/>
    <w:rsid w:val="00F526A1"/>
    <w:rsid w:val="00F62733"/>
    <w:rsid w:val="00F63F4D"/>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512C8D"/>
    <w:pPr>
      <w:spacing w:line="240" w:lineRule="auto"/>
      <w:ind w:firstLineChars="0" w:firstLine="0"/>
    </w:pPr>
    <w:rPr>
      <w:noProof/>
    </w:rPr>
  </w:style>
  <w:style w:type="character" w:customStyle="1" w:styleId="Chara">
    <w:name w:val="图片 Char"/>
    <w:basedOn w:val="Char3"/>
    <w:link w:val="af2"/>
    <w:rsid w:val="00512C8D"/>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C93B9-0556-4B8D-9C4C-B8D29585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25</Pages>
  <Words>2595</Words>
  <Characters>14796</Characters>
  <Application>Microsoft Office Word</Application>
  <DocSecurity>0</DocSecurity>
  <Lines>123</Lines>
  <Paragraphs>34</Paragraphs>
  <ScaleCrop>false</ScaleCrop>
  <Company>Microsoft</Company>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447</cp:revision>
  <dcterms:created xsi:type="dcterms:W3CDTF">2018-01-05T13:06:00Z</dcterms:created>
  <dcterms:modified xsi:type="dcterms:W3CDTF">2020-02-20T08:25:00Z</dcterms:modified>
</cp:coreProperties>
</file>