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0056" w14:textId="2C3F9BED" w:rsidR="00E029C4" w:rsidRDefault="00693737" w:rsidP="00E029C4">
      <w:pPr>
        <w:rPr>
          <w:rFonts w:eastAsia="宋体"/>
          <w:iCs w:val="0"/>
          <w:sz w:val="20"/>
          <w:szCs w:val="20"/>
          <w:lang w:val="en-GB" w:eastAsia="en-US"/>
        </w:rPr>
      </w:pPr>
      <w:r>
        <w:rPr>
          <w:rFonts w:eastAsia="宋体"/>
          <w:iCs w:val="0"/>
          <w:sz w:val="20"/>
          <w:szCs w:val="20"/>
          <w:lang w:val="en-GB" w:eastAsia="en-US"/>
        </w:rPr>
        <w:t xml:space="preserve">The topology of the IEEE-33 system is shown in </w:t>
      </w:r>
      <w:r>
        <w:rPr>
          <w:rFonts w:eastAsia="宋体"/>
          <w:iCs w:val="0"/>
          <w:sz w:val="20"/>
          <w:szCs w:val="20"/>
          <w:lang w:val="en-GB" w:eastAsia="en-US"/>
        </w:rPr>
        <w:fldChar w:fldCharType="begin"/>
      </w:r>
      <w:r>
        <w:rPr>
          <w:rFonts w:eastAsia="宋体"/>
          <w:iCs w:val="0"/>
          <w:sz w:val="20"/>
          <w:szCs w:val="20"/>
          <w:lang w:val="en-GB" w:eastAsia="en-US"/>
        </w:rPr>
        <w:instrText xml:space="preserve"> REF _Ref130414072 \h </w:instrText>
      </w:r>
      <w:r>
        <w:rPr>
          <w:rFonts w:eastAsia="宋体"/>
          <w:iCs w:val="0"/>
          <w:sz w:val="20"/>
          <w:szCs w:val="20"/>
          <w:lang w:val="en-GB" w:eastAsia="en-US"/>
        </w:rPr>
      </w:r>
      <w:r>
        <w:rPr>
          <w:rFonts w:eastAsia="宋体"/>
          <w:iCs w:val="0"/>
          <w:sz w:val="20"/>
          <w:szCs w:val="20"/>
          <w:lang w:val="en-GB" w:eastAsia="en-US"/>
        </w:rPr>
        <w:instrText xml:space="preserve"> \* MERGEFORMAT </w:instrText>
      </w:r>
      <w:r>
        <w:rPr>
          <w:rFonts w:eastAsia="宋体"/>
          <w:iCs w:val="0"/>
          <w:sz w:val="20"/>
          <w:szCs w:val="20"/>
          <w:lang w:val="en-GB" w:eastAsia="en-US"/>
        </w:rPr>
        <w:fldChar w:fldCharType="separate"/>
      </w:r>
      <w:r w:rsidRPr="00693737">
        <w:rPr>
          <w:rFonts w:eastAsia="宋体"/>
          <w:iCs w:val="0"/>
          <w:sz w:val="20"/>
          <w:szCs w:val="20"/>
          <w:lang w:val="en-GB" w:eastAsia="en-US"/>
        </w:rPr>
        <w:t>Fig. 1</w:t>
      </w:r>
      <w:r>
        <w:rPr>
          <w:rFonts w:eastAsia="宋体"/>
          <w:iCs w:val="0"/>
          <w:sz w:val="20"/>
          <w:szCs w:val="20"/>
          <w:lang w:val="en-GB" w:eastAsia="en-US"/>
        </w:rPr>
        <w:fldChar w:fldCharType="end"/>
      </w:r>
      <w:r>
        <w:rPr>
          <w:rFonts w:eastAsia="宋体"/>
          <w:iCs w:val="0"/>
          <w:sz w:val="20"/>
          <w:szCs w:val="20"/>
          <w:lang w:val="en-GB" w:eastAsia="en-US"/>
        </w:rPr>
        <w:t xml:space="preserve">. </w: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t xml:space="preserve">The peak loads of MG1, MG2 and MG3 are 1.2+j0.581MVA, 0.8+j0.387MVA and 1+j0.484MVA respectively. The ESS and DG paraments are shown in </w: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begin"/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instrText xml:space="preserve"> REF _Ref112958662 \h </w:instrTex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separate"/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t xml:space="preserve">Table </w:t>
      </w:r>
      <w:r w:rsidR="00E029C4" w:rsidRPr="00E029C4">
        <w:rPr>
          <w:rFonts w:eastAsia="宋体"/>
          <w:iCs w:val="0"/>
          <w:noProof/>
          <w:sz w:val="20"/>
          <w:szCs w:val="20"/>
          <w:lang w:val="en-GB" w:eastAsia="en-US"/>
        </w:rPr>
        <w:t>1</w: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end"/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t xml:space="preserve"> and </w: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begin"/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instrText xml:space="preserve"> REF _Ref112958958 \h </w:instrTex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separate"/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t xml:space="preserve">Table </w:t>
      </w:r>
      <w:r w:rsidR="00E029C4" w:rsidRPr="00E029C4">
        <w:rPr>
          <w:rFonts w:eastAsia="宋体"/>
          <w:iCs w:val="0"/>
          <w:noProof/>
          <w:sz w:val="20"/>
          <w:szCs w:val="20"/>
          <w:lang w:val="en-GB" w:eastAsia="en-US"/>
        </w:rPr>
        <w:t>2</w: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end"/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t>.</w:t>
      </w:r>
      <w:r w:rsidR="00E029C4">
        <w:rPr>
          <w:rFonts w:eastAsia="宋体"/>
          <w:iCs w:val="0"/>
          <w:sz w:val="20"/>
          <w:szCs w:val="20"/>
          <w:lang w:val="en-GB" w:eastAsia="en-US"/>
        </w:rPr>
        <w:t xml:space="preserve"> </w: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t xml:space="preserve">The forecast data of loads and RDG’s output are shown in </w: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begin"/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instrText xml:space="preserve"> REF _Ref112959087 \h </w:instrText>
      </w:r>
      <w:r w:rsidR="00E029C4">
        <w:rPr>
          <w:rFonts w:eastAsia="宋体"/>
          <w:iCs w:val="0"/>
          <w:sz w:val="20"/>
          <w:szCs w:val="20"/>
          <w:lang w:val="en-GB" w:eastAsia="en-US"/>
        </w:rPr>
        <w:instrText xml:space="preserve"> \* MERGEFORMAT </w:instrTex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separate"/>
      </w:r>
      <w:r w:rsidRPr="00693737">
        <w:rPr>
          <w:rFonts w:eastAsia="宋体"/>
          <w:iCs w:val="0"/>
          <w:sz w:val="20"/>
          <w:szCs w:val="20"/>
          <w:lang w:val="en-GB" w:eastAsia="en-US"/>
        </w:rPr>
        <w:t>Fig. 2</w:t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fldChar w:fldCharType="end"/>
      </w:r>
      <w:r w:rsidR="00E029C4" w:rsidRPr="00E029C4">
        <w:rPr>
          <w:rFonts w:eastAsia="宋体"/>
          <w:iCs w:val="0"/>
          <w:sz w:val="20"/>
          <w:szCs w:val="20"/>
          <w:lang w:val="en-GB" w:eastAsia="en-US"/>
        </w:rPr>
        <w:t>, with the assumption that the forecast data (per unit) of wind turbine (WT) and photovoltaic (PV) output are the same in each MG.</w:t>
      </w:r>
    </w:p>
    <w:p w14:paraId="7E3DA9F0" w14:textId="77777777" w:rsidR="00693737" w:rsidRDefault="00693737" w:rsidP="00693737">
      <w:pPr>
        <w:keepNext/>
        <w:jc w:val="center"/>
      </w:pPr>
      <w:r>
        <w:rPr>
          <w:rFonts w:eastAsia="宋体"/>
          <w:iCs w:val="0"/>
          <w:noProof/>
          <w:sz w:val="20"/>
          <w:szCs w:val="20"/>
          <w:lang w:val="en-GB" w:eastAsia="en-US"/>
        </w:rPr>
        <w:drawing>
          <wp:inline distT="0" distB="0" distL="0" distR="0" wp14:anchorId="4DF38FD5" wp14:editId="04F65C97">
            <wp:extent cx="3614322" cy="259651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95" cy="25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863C" w14:textId="688C35BF" w:rsidR="00693737" w:rsidRPr="00693737" w:rsidRDefault="00693737" w:rsidP="00693737">
      <w:pPr>
        <w:pStyle w:val="a7"/>
        <w:jc w:val="center"/>
        <w:rPr>
          <w:rFonts w:ascii="Times New Roman" w:eastAsia="宋体" w:hAnsi="Times New Roman" w:cs="Times New Roman"/>
          <w:iCs w:val="0"/>
          <w:sz w:val="16"/>
          <w:lang w:val="en-GB" w:eastAsia="en-US"/>
        </w:rPr>
      </w:pPr>
      <w:bookmarkStart w:id="0" w:name="_Ref130414072"/>
      <w:r w:rsidRPr="00693737">
        <w:rPr>
          <w:rFonts w:ascii="Times New Roman" w:eastAsia="宋体" w:hAnsi="Times New Roman" w:cs="Times New Roman"/>
          <w:iCs w:val="0"/>
          <w:sz w:val="16"/>
          <w:lang w:val="en-GB" w:eastAsia="en-US"/>
        </w:rPr>
        <w:t xml:space="preserve">Fig. </w:t>
      </w:r>
      <w:r w:rsidRPr="00693737">
        <w:rPr>
          <w:rFonts w:ascii="Times New Roman" w:eastAsia="宋体" w:hAnsi="Times New Roman" w:cs="Times New Roman"/>
          <w:iCs w:val="0"/>
          <w:sz w:val="16"/>
          <w:lang w:val="en-GB" w:eastAsia="en-US"/>
        </w:rPr>
        <w:fldChar w:fldCharType="begin"/>
      </w:r>
      <w:r w:rsidRPr="00693737">
        <w:rPr>
          <w:rFonts w:ascii="Times New Roman" w:eastAsia="宋体" w:hAnsi="Times New Roman" w:cs="Times New Roman"/>
          <w:iCs w:val="0"/>
          <w:sz w:val="16"/>
          <w:lang w:val="en-GB" w:eastAsia="en-US"/>
        </w:rPr>
        <w:instrText xml:space="preserve"> SEQ Fig. \* ARABIC </w:instrText>
      </w:r>
      <w:r w:rsidRPr="00693737">
        <w:rPr>
          <w:rFonts w:ascii="Times New Roman" w:eastAsia="宋体" w:hAnsi="Times New Roman" w:cs="Times New Roman"/>
          <w:iCs w:val="0"/>
          <w:sz w:val="16"/>
          <w:lang w:val="en-GB" w:eastAsia="en-US"/>
        </w:rPr>
        <w:fldChar w:fldCharType="separate"/>
      </w:r>
      <w:r w:rsidRPr="00693737">
        <w:rPr>
          <w:rFonts w:ascii="Times New Roman" w:eastAsia="宋体" w:hAnsi="Times New Roman" w:cs="Times New Roman"/>
          <w:iCs w:val="0"/>
          <w:sz w:val="16"/>
          <w:lang w:val="en-GB" w:eastAsia="en-US"/>
        </w:rPr>
        <w:t>1</w:t>
      </w:r>
      <w:r w:rsidRPr="00693737">
        <w:rPr>
          <w:rFonts w:ascii="Times New Roman" w:eastAsia="宋体" w:hAnsi="Times New Roman" w:cs="Times New Roman"/>
          <w:iCs w:val="0"/>
          <w:sz w:val="16"/>
          <w:lang w:val="en-GB" w:eastAsia="en-US"/>
        </w:rPr>
        <w:fldChar w:fldCharType="end"/>
      </w:r>
      <w:bookmarkEnd w:id="0"/>
      <w:r w:rsidRPr="00693737">
        <w:rPr>
          <w:rFonts w:ascii="Times New Roman" w:eastAsia="宋体" w:hAnsi="Times New Roman" w:cs="Times New Roman"/>
          <w:iCs w:val="0"/>
          <w:sz w:val="16"/>
          <w:lang w:val="en-GB" w:eastAsia="en-US"/>
        </w:rPr>
        <w:t>. Topology of an ADN with three MGs</w:t>
      </w:r>
    </w:p>
    <w:p w14:paraId="0EC7E3D3" w14:textId="77777777" w:rsidR="00E029C4" w:rsidRPr="00E029C4" w:rsidRDefault="00E029C4" w:rsidP="00E029C4">
      <w:pPr>
        <w:keepNext/>
        <w:widowControl/>
        <w:spacing w:before="60"/>
        <w:ind w:firstLine="238"/>
        <w:jc w:val="center"/>
        <w:rPr>
          <w:rFonts w:eastAsia="宋体"/>
          <w:iCs w:val="0"/>
          <w:sz w:val="20"/>
          <w:szCs w:val="20"/>
          <w:lang w:eastAsia="en-US"/>
        </w:rPr>
      </w:pPr>
      <w:r w:rsidRPr="00E029C4">
        <w:rPr>
          <w:rFonts w:eastAsia="等线"/>
          <w:iCs w:val="0"/>
          <w:noProof/>
          <w:sz w:val="18"/>
          <w:szCs w:val="18"/>
          <w:lang w:val="en-GB"/>
        </w:rPr>
        <w:drawing>
          <wp:inline distT="0" distB="0" distL="0" distR="0" wp14:anchorId="4CCED187" wp14:editId="35490D92">
            <wp:extent cx="2099646" cy="17199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" r="7504" b="3038"/>
                    <a:stretch/>
                  </pic:blipFill>
                  <pic:spPr bwMode="auto">
                    <a:xfrm>
                      <a:off x="0" y="0"/>
                      <a:ext cx="2124601" cy="174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BBD71" w14:textId="5FBC8314" w:rsidR="00E029C4" w:rsidRPr="00E029C4" w:rsidRDefault="00E029C4" w:rsidP="00E029C4">
      <w:pPr>
        <w:keepLines/>
        <w:spacing w:after="40" w:line="200" w:lineRule="exact"/>
        <w:jc w:val="center"/>
        <w:rPr>
          <w:rFonts w:eastAsia="宋体"/>
          <w:iCs w:val="0"/>
          <w:sz w:val="16"/>
          <w:szCs w:val="20"/>
          <w:lang w:val="en-GB" w:eastAsia="en-US"/>
        </w:rPr>
      </w:pPr>
      <w:bookmarkStart w:id="1" w:name="_Ref112959087"/>
      <w:r w:rsidRPr="00E029C4">
        <w:rPr>
          <w:rFonts w:eastAsia="宋体"/>
          <w:iCs w:val="0"/>
          <w:sz w:val="16"/>
          <w:szCs w:val="20"/>
          <w:lang w:val="en-GB" w:eastAsia="en-US"/>
        </w:rPr>
        <w:t xml:space="preserve">Fig. </w: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begin"/>
      </w:r>
      <w:r w:rsidRPr="00E029C4">
        <w:rPr>
          <w:rFonts w:eastAsia="宋体"/>
          <w:iCs w:val="0"/>
          <w:sz w:val="16"/>
          <w:szCs w:val="20"/>
          <w:lang w:val="en-GB" w:eastAsia="en-US"/>
        </w:rPr>
        <w:instrText xml:space="preserve"> SEQ Fig. \* ARABIC </w:instrTex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separate"/>
      </w:r>
      <w:r w:rsidR="00693737">
        <w:rPr>
          <w:rFonts w:eastAsia="宋体"/>
          <w:iCs w:val="0"/>
          <w:noProof/>
          <w:sz w:val="16"/>
          <w:szCs w:val="20"/>
          <w:lang w:val="en-GB" w:eastAsia="en-US"/>
        </w:rPr>
        <w:t>2</w: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end"/>
      </w:r>
      <w:bookmarkEnd w:id="1"/>
      <w:r w:rsidRPr="00E029C4">
        <w:rPr>
          <w:rFonts w:eastAsia="宋体"/>
          <w:iCs w:val="0"/>
          <w:sz w:val="16"/>
          <w:szCs w:val="20"/>
          <w:lang w:val="en-GB" w:eastAsia="en-US"/>
        </w:rPr>
        <w:t>. The forecast load of ADN and MGs as well as the forecast output of WT and PV</w:t>
      </w:r>
    </w:p>
    <w:p w14:paraId="171F5CD6" w14:textId="77777777" w:rsidR="00E029C4" w:rsidRPr="00E029C4" w:rsidRDefault="00E029C4" w:rsidP="00E029C4">
      <w:pPr>
        <w:keepNext/>
        <w:keepLines/>
        <w:spacing w:line="200" w:lineRule="exact"/>
        <w:jc w:val="center"/>
        <w:rPr>
          <w:rFonts w:eastAsia="宋体"/>
          <w:iCs w:val="0"/>
          <w:sz w:val="16"/>
          <w:szCs w:val="20"/>
          <w:lang w:val="en-GB" w:eastAsia="en-US"/>
        </w:rPr>
      </w:pPr>
      <w:bookmarkStart w:id="2" w:name="_Ref112958662"/>
    </w:p>
    <w:p w14:paraId="29394DD8" w14:textId="380030BF" w:rsidR="00E029C4" w:rsidRPr="00E029C4" w:rsidRDefault="00E029C4" w:rsidP="00E029C4">
      <w:pPr>
        <w:keepNext/>
        <w:keepLines/>
        <w:spacing w:before="40" w:after="40" w:line="200" w:lineRule="exact"/>
        <w:jc w:val="center"/>
        <w:rPr>
          <w:rFonts w:eastAsia="宋体"/>
          <w:iCs w:val="0"/>
          <w:sz w:val="16"/>
          <w:szCs w:val="20"/>
          <w:lang w:val="en-GB" w:eastAsia="en-US"/>
        </w:rPr>
      </w:pPr>
      <w:r w:rsidRPr="00E029C4">
        <w:rPr>
          <w:rFonts w:eastAsia="宋体"/>
          <w:iCs w:val="0"/>
          <w:sz w:val="16"/>
          <w:szCs w:val="20"/>
          <w:lang w:val="en-GB" w:eastAsia="en-US"/>
        </w:rPr>
        <w:t xml:space="preserve">Table </w: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begin"/>
      </w:r>
      <w:r w:rsidRPr="00E029C4">
        <w:rPr>
          <w:rFonts w:eastAsia="宋体"/>
          <w:iCs w:val="0"/>
          <w:sz w:val="16"/>
          <w:szCs w:val="20"/>
          <w:lang w:val="en-GB" w:eastAsia="en-US"/>
        </w:rPr>
        <w:instrText xml:space="preserve"> SEQ Table \* ARABIC </w:instrTex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separate"/>
      </w:r>
      <w:r>
        <w:rPr>
          <w:rFonts w:eastAsia="宋体"/>
          <w:iCs w:val="0"/>
          <w:noProof/>
          <w:sz w:val="16"/>
          <w:szCs w:val="20"/>
          <w:lang w:val="en-GB" w:eastAsia="en-US"/>
        </w:rPr>
        <w:t>1</w: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end"/>
      </w:r>
      <w:bookmarkEnd w:id="2"/>
      <w:r w:rsidRPr="00E029C4">
        <w:rPr>
          <w:rFonts w:eastAsia="宋体"/>
          <w:iCs w:val="0"/>
          <w:sz w:val="16"/>
          <w:szCs w:val="20"/>
          <w:lang w:val="en-GB" w:eastAsia="en-US"/>
        </w:rPr>
        <w:t>. Parameters of ESSs</w:t>
      </w:r>
    </w:p>
    <w:tbl>
      <w:tblPr>
        <w:tblW w:w="0" w:type="auto"/>
        <w:jc w:val="center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883"/>
        <w:gridCol w:w="960"/>
        <w:gridCol w:w="1134"/>
        <w:gridCol w:w="1134"/>
        <w:gridCol w:w="709"/>
      </w:tblGrid>
      <w:tr w:rsidR="00E029C4" w:rsidRPr="00E029C4" w14:paraId="0577F197" w14:textId="77777777" w:rsidTr="00A86186">
        <w:trPr>
          <w:trHeight w:val="306"/>
          <w:jc w:val="center"/>
        </w:trPr>
        <w:tc>
          <w:tcPr>
            <w:tcW w:w="883" w:type="dxa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6C119E" w14:textId="77777777" w:rsidR="00E029C4" w:rsidRPr="00E029C4" w:rsidRDefault="00E029C4" w:rsidP="00E029C4">
            <w:pPr>
              <w:widowControl/>
              <w:spacing w:after="80"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Region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EC8C13" w14:textId="77777777" w:rsidR="00E029C4" w:rsidRPr="00E029C4" w:rsidRDefault="00E029C4" w:rsidP="00E029C4">
            <w:pPr>
              <w:widowControl/>
              <w:spacing w:after="80"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position w:val="-10"/>
                <w:sz w:val="16"/>
                <w:szCs w:val="16"/>
                <w:lang w:val="de-DE" w:eastAsia="ja-JP"/>
              </w:rPr>
              <w:object w:dxaOrig="420" w:dyaOrig="300" w14:anchorId="5E041F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95pt;height:16.45pt" o:ole="">
                  <v:imagedata r:id="rId9" o:title=""/>
                </v:shape>
                <o:OLEObject Type="Embed" ProgID="Equation.DSMT4" ShapeID="_x0000_i1025" DrawAspect="Content" ObjectID="_1741049076" r:id="rId10"/>
              </w:object>
            </w: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/kW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FC69F26" w14:textId="77777777" w:rsidR="00E029C4" w:rsidRPr="00E029C4" w:rsidRDefault="00E029C4" w:rsidP="00E029C4">
            <w:pPr>
              <w:widowControl/>
              <w:spacing w:after="80"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position w:val="-10"/>
                <w:sz w:val="16"/>
                <w:szCs w:val="16"/>
                <w:lang w:val="de-DE" w:eastAsia="ja-JP"/>
              </w:rPr>
              <w:object w:dxaOrig="460" w:dyaOrig="279" w14:anchorId="5F3A0A08">
                <v:shape id="_x0000_i1026" type="#_x0000_t75" style="width:22.6pt;height:12.8pt" o:ole="">
                  <v:imagedata r:id="rId11" o:title=""/>
                </v:shape>
                <o:OLEObject Type="Embed" ProgID="Equation.DSMT4" ShapeID="_x0000_i1026" DrawAspect="Content" ObjectID="_1741049077" r:id="rId12"/>
              </w:object>
            </w: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/kWh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14:paraId="31D46460" w14:textId="77777777" w:rsidR="00E029C4" w:rsidRPr="00E029C4" w:rsidRDefault="00E029C4" w:rsidP="00E029C4">
            <w:pPr>
              <w:widowControl/>
              <w:spacing w:after="80"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position w:val="-10"/>
                <w:sz w:val="16"/>
                <w:szCs w:val="16"/>
                <w:lang w:val="de-DE" w:eastAsia="ja-JP"/>
              </w:rPr>
              <w:object w:dxaOrig="440" w:dyaOrig="279" w14:anchorId="509FB124">
                <v:shape id="_x0000_i1027" type="#_x0000_t75" style="width:21.95pt;height:12.8pt" o:ole="">
                  <v:imagedata r:id="rId13" o:title=""/>
                </v:shape>
                <o:OLEObject Type="Embed" ProgID="Equation.DSMT4" ShapeID="_x0000_i1027" DrawAspect="Content" ObjectID="_1741049078" r:id="rId14"/>
              </w:object>
            </w: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/kWh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6" w:space="0" w:color="auto"/>
            </w:tcBorders>
            <w:vAlign w:val="center"/>
          </w:tcPr>
          <w:p w14:paraId="3C1B7C2F" w14:textId="77777777" w:rsidR="00E029C4" w:rsidRPr="00E029C4" w:rsidRDefault="00E029C4" w:rsidP="00E029C4">
            <w:pPr>
              <w:widowControl/>
              <w:spacing w:after="80"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/>
                <w:sz w:val="16"/>
                <w:szCs w:val="16"/>
                <w:lang w:val="de-DE" w:eastAsia="ja-JP"/>
              </w:rPr>
              <w:t>η</w:t>
            </w: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/%</w:t>
            </w:r>
          </w:p>
        </w:tc>
      </w:tr>
      <w:tr w:rsidR="00E029C4" w:rsidRPr="00E029C4" w14:paraId="1D94707D" w14:textId="77777777" w:rsidTr="00A86186">
        <w:trPr>
          <w:jc w:val="center"/>
        </w:trPr>
        <w:tc>
          <w:tcPr>
            <w:tcW w:w="883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57BF184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MG1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vAlign w:val="center"/>
          </w:tcPr>
          <w:p w14:paraId="5EED2F9D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4891FF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1000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715B610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36F62FCC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93</w:t>
            </w:r>
          </w:p>
        </w:tc>
      </w:tr>
      <w:tr w:rsidR="00E029C4" w:rsidRPr="00E029C4" w14:paraId="0418BFE9" w14:textId="77777777" w:rsidTr="00A86186">
        <w:trPr>
          <w:jc w:val="center"/>
        </w:trPr>
        <w:tc>
          <w:tcPr>
            <w:tcW w:w="88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2AC3AE8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MG2</w:t>
            </w:r>
          </w:p>
        </w:tc>
        <w:tc>
          <w:tcPr>
            <w:tcW w:w="960" w:type="dxa"/>
            <w:tcBorders>
              <w:top w:val="nil"/>
              <w:bottom w:val="single" w:sz="8" w:space="0" w:color="auto"/>
            </w:tcBorders>
            <w:vAlign w:val="center"/>
          </w:tcPr>
          <w:p w14:paraId="045CCBC6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250</w:t>
            </w:r>
          </w:p>
        </w:tc>
        <w:tc>
          <w:tcPr>
            <w:tcW w:w="113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7021736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1500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64159DF" w14:textId="77777777" w:rsidR="00E029C4" w:rsidRPr="00E029C4" w:rsidRDefault="00E029C4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0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vAlign w:val="center"/>
          </w:tcPr>
          <w:p w14:paraId="34217F2D" w14:textId="77777777" w:rsidR="00E029C4" w:rsidRPr="00E029C4" w:rsidRDefault="00E029C4" w:rsidP="00E029C4">
            <w:pPr>
              <w:keepNext/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93</w:t>
            </w:r>
          </w:p>
        </w:tc>
      </w:tr>
    </w:tbl>
    <w:p w14:paraId="448709F6" w14:textId="7C229385" w:rsidR="00E029C4" w:rsidRPr="00E029C4" w:rsidRDefault="00E029C4" w:rsidP="00E029C4">
      <w:pPr>
        <w:keepNext/>
        <w:keepLines/>
        <w:spacing w:before="40" w:after="40" w:line="200" w:lineRule="exact"/>
        <w:jc w:val="center"/>
        <w:rPr>
          <w:rFonts w:eastAsia="宋体"/>
          <w:iCs w:val="0"/>
          <w:sz w:val="16"/>
          <w:szCs w:val="20"/>
          <w:lang w:val="en-GB" w:eastAsia="en-US"/>
        </w:rPr>
      </w:pPr>
      <w:bookmarkStart w:id="3" w:name="_Ref112958958"/>
      <w:r w:rsidRPr="00E029C4">
        <w:rPr>
          <w:rFonts w:eastAsia="宋体"/>
          <w:iCs w:val="0"/>
          <w:sz w:val="16"/>
          <w:szCs w:val="20"/>
          <w:lang w:val="en-GB" w:eastAsia="en-US"/>
        </w:rPr>
        <w:t xml:space="preserve">Table </w: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begin"/>
      </w:r>
      <w:r w:rsidRPr="00E029C4">
        <w:rPr>
          <w:rFonts w:eastAsia="宋体"/>
          <w:iCs w:val="0"/>
          <w:sz w:val="16"/>
          <w:szCs w:val="20"/>
          <w:lang w:val="en-GB" w:eastAsia="en-US"/>
        </w:rPr>
        <w:instrText xml:space="preserve"> SEQ Table \* ARABIC </w:instrTex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separate"/>
      </w:r>
      <w:r>
        <w:rPr>
          <w:rFonts w:eastAsia="宋体"/>
          <w:iCs w:val="0"/>
          <w:noProof/>
          <w:sz w:val="16"/>
          <w:szCs w:val="20"/>
          <w:lang w:val="en-GB" w:eastAsia="en-US"/>
        </w:rPr>
        <w:t>2</w:t>
      </w:r>
      <w:r w:rsidRPr="00E029C4">
        <w:rPr>
          <w:rFonts w:eastAsia="宋体"/>
          <w:iCs w:val="0"/>
          <w:sz w:val="16"/>
          <w:szCs w:val="20"/>
          <w:lang w:val="en-GB" w:eastAsia="en-US"/>
        </w:rPr>
        <w:fldChar w:fldCharType="end"/>
      </w:r>
      <w:bookmarkEnd w:id="3"/>
      <w:r w:rsidRPr="00E029C4">
        <w:rPr>
          <w:rFonts w:eastAsia="宋体"/>
          <w:iCs w:val="0"/>
          <w:sz w:val="16"/>
          <w:szCs w:val="20"/>
          <w:lang w:val="en-GB" w:eastAsia="en-US"/>
        </w:rPr>
        <w:t>. Parameters of DGs</w:t>
      </w:r>
    </w:p>
    <w:tbl>
      <w:tblPr>
        <w:tblW w:w="3882" w:type="dxa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Look w:val="01A0" w:firstRow="1" w:lastRow="0" w:firstColumn="1" w:lastColumn="1" w:noHBand="0" w:noVBand="0"/>
      </w:tblPr>
      <w:tblGrid>
        <w:gridCol w:w="709"/>
        <w:gridCol w:w="851"/>
        <w:gridCol w:w="1161"/>
        <w:gridCol w:w="1161"/>
      </w:tblGrid>
      <w:tr w:rsidR="001A3CD3" w:rsidRPr="00E029C4" w14:paraId="0CDFF2CE" w14:textId="77777777" w:rsidTr="001A3CD3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B9604AD" w14:textId="77777777" w:rsidR="001A3CD3" w:rsidRPr="00E029C4" w:rsidRDefault="001A3CD3" w:rsidP="00E029C4">
            <w:pPr>
              <w:widowControl/>
              <w:spacing w:after="80" w:line="200" w:lineRule="exact"/>
              <w:jc w:val="center"/>
              <w:rPr>
                <w:rFonts w:eastAsia="等线"/>
                <w:iCs w:val="0"/>
                <w:sz w:val="16"/>
                <w:szCs w:val="16"/>
                <w:lang w:val="de-DE"/>
              </w:rPr>
            </w:pPr>
            <w:r w:rsidRPr="00E029C4">
              <w:rPr>
                <w:rFonts w:eastAsia="等线"/>
                <w:iCs w:val="0"/>
                <w:sz w:val="16"/>
                <w:szCs w:val="16"/>
                <w:lang w:val="de-DE"/>
              </w:rPr>
              <w:t>Region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53E2051" w14:textId="77777777" w:rsidR="001A3CD3" w:rsidRPr="00E029C4" w:rsidRDefault="001A3CD3" w:rsidP="00E029C4">
            <w:pPr>
              <w:widowControl/>
              <w:spacing w:after="80"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DG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B6A7123" w14:textId="77777777" w:rsidR="001A3CD3" w:rsidRPr="00E029C4" w:rsidRDefault="001A3CD3" w:rsidP="00E029C4">
            <w:pPr>
              <w:widowControl/>
              <w:spacing w:after="80"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/>
                <w:sz w:val="16"/>
                <w:szCs w:val="16"/>
                <w:lang w:val="de-DE" w:eastAsia="ja-JP"/>
              </w:rPr>
              <w:t>P</w:t>
            </w:r>
            <w:r w:rsidRPr="00E029C4">
              <w:rPr>
                <w:rFonts w:eastAsia="MS Mincho"/>
                <w:i/>
                <w:sz w:val="16"/>
                <w:szCs w:val="16"/>
                <w:vertAlign w:val="subscript"/>
                <w:lang w:val="de-DE" w:eastAsia="ja-JP"/>
              </w:rPr>
              <w:t>g</w:t>
            </w:r>
            <w:r w:rsidRPr="00E029C4">
              <w:rPr>
                <w:rFonts w:eastAsia="MS Mincho"/>
                <w:iCs w:val="0"/>
                <w:sz w:val="16"/>
                <w:szCs w:val="16"/>
                <w:vertAlign w:val="subscript"/>
                <w:lang w:val="de-DE" w:eastAsia="ja-JP"/>
              </w:rPr>
              <w:t>,min</w:t>
            </w: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/kW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D82F78D" w14:textId="77777777" w:rsidR="001A3CD3" w:rsidRPr="00E029C4" w:rsidRDefault="001A3CD3" w:rsidP="00E029C4">
            <w:pPr>
              <w:widowControl/>
              <w:spacing w:after="80"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/>
                <w:sz w:val="16"/>
                <w:szCs w:val="16"/>
                <w:lang w:val="de-DE" w:eastAsia="ja-JP"/>
              </w:rPr>
              <w:t>P</w:t>
            </w:r>
            <w:r w:rsidRPr="00E029C4">
              <w:rPr>
                <w:rFonts w:eastAsia="MS Mincho"/>
                <w:i/>
                <w:sz w:val="16"/>
                <w:szCs w:val="16"/>
                <w:vertAlign w:val="subscript"/>
                <w:lang w:val="de-DE" w:eastAsia="ja-JP"/>
              </w:rPr>
              <w:t>g</w:t>
            </w:r>
            <w:r w:rsidRPr="00E029C4">
              <w:rPr>
                <w:rFonts w:eastAsia="MS Mincho"/>
                <w:iCs w:val="0"/>
                <w:sz w:val="16"/>
                <w:szCs w:val="16"/>
                <w:vertAlign w:val="subscript"/>
                <w:lang w:val="de-DE" w:eastAsia="ja-JP"/>
              </w:rPr>
              <w:t>,max</w:t>
            </w: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/kW</w:t>
            </w:r>
          </w:p>
        </w:tc>
      </w:tr>
      <w:tr w:rsidR="001A3CD3" w:rsidRPr="00E029C4" w14:paraId="5B5F3A67" w14:textId="77777777" w:rsidTr="001A3CD3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672847C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等线"/>
                <w:iCs w:val="0"/>
                <w:sz w:val="16"/>
                <w:szCs w:val="16"/>
                <w:lang w:val="de-DE"/>
              </w:rPr>
            </w:pPr>
            <w:r w:rsidRPr="00E029C4">
              <w:rPr>
                <w:rFonts w:eastAsia="等线"/>
                <w:iCs w:val="0"/>
                <w:sz w:val="16"/>
                <w:szCs w:val="16"/>
                <w:lang w:val="de-DE"/>
              </w:rPr>
              <w:t>ADN</w:t>
            </w:r>
          </w:p>
        </w:tc>
        <w:tc>
          <w:tcPr>
            <w:tcW w:w="851" w:type="dxa"/>
            <w:tcBorders>
              <w:top w:val="single" w:sz="6" w:space="0" w:color="auto"/>
              <w:right w:val="nil"/>
            </w:tcBorders>
            <w:shd w:val="clear" w:color="auto" w:fill="auto"/>
            <w:vAlign w:val="center"/>
          </w:tcPr>
          <w:p w14:paraId="72512CA3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宋体"/>
                <w:iCs w:val="0"/>
                <w:sz w:val="16"/>
                <w:szCs w:val="16"/>
                <w:lang w:val="de-DE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CDG1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F2A4DC5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150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4F64F6B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600</w:t>
            </w:r>
          </w:p>
        </w:tc>
      </w:tr>
      <w:tr w:rsidR="001A3CD3" w:rsidRPr="00E029C4" w14:paraId="7E0E5B6B" w14:textId="77777777" w:rsidTr="001A3CD3">
        <w:trPr>
          <w:cantSplit/>
          <w:jc w:val="center"/>
        </w:trPr>
        <w:tc>
          <w:tcPr>
            <w:tcW w:w="709" w:type="dxa"/>
            <w:vMerge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506811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</w:p>
        </w:tc>
        <w:tc>
          <w:tcPr>
            <w:tcW w:w="8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AB54E88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CDG2</w:t>
            </w:r>
          </w:p>
        </w:tc>
        <w:tc>
          <w:tcPr>
            <w:tcW w:w="11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2A913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80</w:t>
            </w:r>
          </w:p>
        </w:tc>
        <w:tc>
          <w:tcPr>
            <w:tcW w:w="11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D0682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700</w:t>
            </w:r>
          </w:p>
        </w:tc>
      </w:tr>
      <w:tr w:rsidR="001A3CD3" w:rsidRPr="00E029C4" w14:paraId="2DF51226" w14:textId="77777777" w:rsidTr="001A3CD3">
        <w:trPr>
          <w:cantSplit/>
          <w:jc w:val="center"/>
        </w:trPr>
        <w:tc>
          <w:tcPr>
            <w:tcW w:w="709" w:type="dxa"/>
            <w:vMerge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7D61647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2165C1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CDG3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496D4A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100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F27100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800</w:t>
            </w:r>
          </w:p>
        </w:tc>
      </w:tr>
      <w:tr w:rsidR="001A3CD3" w:rsidRPr="00E029C4" w14:paraId="4851C9C9" w14:textId="77777777" w:rsidTr="001A3CD3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2DC61858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等线"/>
                <w:iCs w:val="0"/>
                <w:sz w:val="16"/>
                <w:szCs w:val="16"/>
                <w:lang w:val="de-DE"/>
              </w:rPr>
            </w:pPr>
            <w:r w:rsidRPr="00E029C4">
              <w:rPr>
                <w:rFonts w:eastAsia="等线"/>
                <w:iCs w:val="0"/>
                <w:sz w:val="16"/>
                <w:szCs w:val="16"/>
                <w:lang w:val="de-DE"/>
              </w:rPr>
              <w:t>MG1</w:t>
            </w:r>
          </w:p>
        </w:tc>
        <w:tc>
          <w:tcPr>
            <w:tcW w:w="851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3A0A7F6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WT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558407D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5AED720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500</w:t>
            </w:r>
          </w:p>
        </w:tc>
      </w:tr>
      <w:tr w:rsidR="001A3CD3" w:rsidRPr="00E029C4" w14:paraId="70627FB3" w14:textId="77777777" w:rsidTr="001A3CD3">
        <w:trPr>
          <w:cantSplit/>
          <w:jc w:val="center"/>
        </w:trPr>
        <w:tc>
          <w:tcPr>
            <w:tcW w:w="709" w:type="dxa"/>
            <w:vMerge/>
            <w:vAlign w:val="center"/>
          </w:tcPr>
          <w:p w14:paraId="04B70940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</w:p>
        </w:tc>
        <w:tc>
          <w:tcPr>
            <w:tcW w:w="8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CEA9EEF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PV</w:t>
            </w:r>
          </w:p>
        </w:tc>
        <w:tc>
          <w:tcPr>
            <w:tcW w:w="11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029FD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0</w:t>
            </w:r>
          </w:p>
        </w:tc>
        <w:tc>
          <w:tcPr>
            <w:tcW w:w="11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7AFCA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400</w:t>
            </w:r>
          </w:p>
        </w:tc>
      </w:tr>
      <w:tr w:rsidR="001A3CD3" w:rsidRPr="00E029C4" w14:paraId="3B1FC17B" w14:textId="77777777" w:rsidTr="001A3CD3">
        <w:trPr>
          <w:cantSplit/>
          <w:jc w:val="center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0DC9E573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742427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CDG1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9BA890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50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9E5F3A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400</w:t>
            </w:r>
          </w:p>
        </w:tc>
      </w:tr>
      <w:tr w:rsidR="001A3CD3" w:rsidRPr="00E029C4" w14:paraId="341281C6" w14:textId="77777777" w:rsidTr="001A3CD3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4C4E6692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等线"/>
                <w:iCs w:val="0"/>
                <w:sz w:val="16"/>
                <w:szCs w:val="16"/>
                <w:lang w:val="de-DE"/>
              </w:rPr>
            </w:pPr>
            <w:r w:rsidRPr="00E029C4">
              <w:rPr>
                <w:rFonts w:eastAsia="等线"/>
                <w:iCs w:val="0"/>
                <w:sz w:val="16"/>
                <w:szCs w:val="16"/>
                <w:lang w:val="de-DE"/>
              </w:rPr>
              <w:t>MG2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6C1D58A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PV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9FB8F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44A22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500</w:t>
            </w:r>
          </w:p>
        </w:tc>
      </w:tr>
      <w:tr w:rsidR="001A3CD3" w:rsidRPr="00E029C4" w14:paraId="7502CDD3" w14:textId="77777777" w:rsidTr="001A3CD3">
        <w:trPr>
          <w:cantSplit/>
          <w:jc w:val="center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450965EA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7ABCF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WT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A6E9F6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A39F7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200</w:t>
            </w:r>
          </w:p>
        </w:tc>
      </w:tr>
      <w:tr w:rsidR="001A3CD3" w:rsidRPr="00E029C4" w14:paraId="7C7CA5C0" w14:textId="77777777" w:rsidTr="001A3CD3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079F12D7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等线"/>
                <w:iCs w:val="0"/>
                <w:sz w:val="16"/>
                <w:szCs w:val="16"/>
                <w:lang w:val="de-DE"/>
              </w:rPr>
            </w:pPr>
            <w:r w:rsidRPr="00E029C4">
              <w:rPr>
                <w:rFonts w:eastAsia="等线"/>
                <w:iCs w:val="0"/>
                <w:sz w:val="16"/>
                <w:szCs w:val="16"/>
                <w:lang w:val="de-DE"/>
              </w:rPr>
              <w:t>MG3</w:t>
            </w:r>
          </w:p>
        </w:tc>
        <w:tc>
          <w:tcPr>
            <w:tcW w:w="851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CA266E4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WT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D524025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773CD71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400</w:t>
            </w:r>
          </w:p>
        </w:tc>
      </w:tr>
      <w:tr w:rsidR="001A3CD3" w:rsidRPr="00E029C4" w14:paraId="77599DB9" w14:textId="77777777" w:rsidTr="001A3CD3">
        <w:trPr>
          <w:cantSplit/>
          <w:trHeight w:val="63"/>
          <w:jc w:val="center"/>
        </w:trPr>
        <w:tc>
          <w:tcPr>
            <w:tcW w:w="709" w:type="dxa"/>
            <w:vMerge/>
            <w:vAlign w:val="center"/>
          </w:tcPr>
          <w:p w14:paraId="54EFABDD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</w:p>
        </w:tc>
        <w:tc>
          <w:tcPr>
            <w:tcW w:w="851" w:type="dxa"/>
            <w:tcBorders>
              <w:right w:val="nil"/>
            </w:tcBorders>
            <w:shd w:val="clear" w:color="auto" w:fill="auto"/>
            <w:vAlign w:val="center"/>
          </w:tcPr>
          <w:p w14:paraId="09A11388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CDG1</w:t>
            </w:r>
          </w:p>
        </w:tc>
        <w:tc>
          <w:tcPr>
            <w:tcW w:w="116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76FE82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30</w:t>
            </w:r>
          </w:p>
        </w:tc>
        <w:tc>
          <w:tcPr>
            <w:tcW w:w="116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0E7A40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300</w:t>
            </w:r>
          </w:p>
        </w:tc>
      </w:tr>
      <w:tr w:rsidR="001A3CD3" w:rsidRPr="00E029C4" w14:paraId="733B80F3" w14:textId="77777777" w:rsidTr="001A3CD3">
        <w:trPr>
          <w:cantSplit/>
          <w:jc w:val="center"/>
        </w:trPr>
        <w:tc>
          <w:tcPr>
            <w:tcW w:w="709" w:type="dxa"/>
            <w:vMerge/>
            <w:tcBorders>
              <w:bottom w:val="single" w:sz="8" w:space="0" w:color="auto"/>
            </w:tcBorders>
            <w:vAlign w:val="center"/>
          </w:tcPr>
          <w:p w14:paraId="4404B1A0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</w:p>
        </w:tc>
        <w:tc>
          <w:tcPr>
            <w:tcW w:w="851" w:type="dxa"/>
            <w:tcBorders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31F24DD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CDG2</w:t>
            </w:r>
          </w:p>
        </w:tc>
        <w:tc>
          <w:tcPr>
            <w:tcW w:w="116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CD5EEAD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0</w:t>
            </w:r>
          </w:p>
        </w:tc>
        <w:tc>
          <w:tcPr>
            <w:tcW w:w="116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6324C21" w14:textId="77777777" w:rsidR="001A3CD3" w:rsidRPr="00E029C4" w:rsidRDefault="001A3CD3" w:rsidP="00E029C4">
            <w:pPr>
              <w:widowControl/>
              <w:spacing w:line="200" w:lineRule="exact"/>
              <w:jc w:val="center"/>
              <w:rPr>
                <w:rFonts w:eastAsia="MS Mincho"/>
                <w:iCs w:val="0"/>
                <w:sz w:val="16"/>
                <w:szCs w:val="16"/>
                <w:lang w:val="de-DE" w:eastAsia="ja-JP"/>
              </w:rPr>
            </w:pPr>
            <w:r w:rsidRPr="00E029C4">
              <w:rPr>
                <w:rFonts w:eastAsia="MS Mincho"/>
                <w:iCs w:val="0"/>
                <w:sz w:val="16"/>
                <w:szCs w:val="16"/>
                <w:lang w:val="de-DE" w:eastAsia="ja-JP"/>
              </w:rPr>
              <w:t>400</w:t>
            </w:r>
          </w:p>
        </w:tc>
      </w:tr>
    </w:tbl>
    <w:p w14:paraId="4B8AB580" w14:textId="2D8C4B6A" w:rsidR="00C11660" w:rsidRPr="00E029C4" w:rsidRDefault="00C11660" w:rsidP="00B9273E"/>
    <w:sectPr w:rsidR="00C11660" w:rsidRPr="00E0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D887" w14:textId="77777777" w:rsidR="0079409C" w:rsidRDefault="0079409C" w:rsidP="00B608E2">
      <w:r>
        <w:separator/>
      </w:r>
    </w:p>
  </w:endnote>
  <w:endnote w:type="continuationSeparator" w:id="0">
    <w:p w14:paraId="360E0710" w14:textId="77777777" w:rsidR="0079409C" w:rsidRDefault="0079409C" w:rsidP="00B6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5985" w14:textId="77777777" w:rsidR="0079409C" w:rsidRDefault="0079409C" w:rsidP="00B608E2">
      <w:r>
        <w:separator/>
      </w:r>
    </w:p>
  </w:footnote>
  <w:footnote w:type="continuationSeparator" w:id="0">
    <w:p w14:paraId="55FCC411" w14:textId="77777777" w:rsidR="0079409C" w:rsidRDefault="0079409C" w:rsidP="00B60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C4"/>
    <w:rsid w:val="000A7526"/>
    <w:rsid w:val="001110ED"/>
    <w:rsid w:val="00193D19"/>
    <w:rsid w:val="001A3CD3"/>
    <w:rsid w:val="00201011"/>
    <w:rsid w:val="002848CD"/>
    <w:rsid w:val="002E1B27"/>
    <w:rsid w:val="00693737"/>
    <w:rsid w:val="006B24C2"/>
    <w:rsid w:val="0079409C"/>
    <w:rsid w:val="0084522E"/>
    <w:rsid w:val="00A12D33"/>
    <w:rsid w:val="00AF2125"/>
    <w:rsid w:val="00B608E2"/>
    <w:rsid w:val="00B9273E"/>
    <w:rsid w:val="00C11660"/>
    <w:rsid w:val="00D555BB"/>
    <w:rsid w:val="00DC39E1"/>
    <w:rsid w:val="00E029C4"/>
    <w:rsid w:val="00F7561F"/>
    <w:rsid w:val="00F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C736A"/>
  <w15:chartTrackingRefBased/>
  <w15:docId w15:val="{F454DBFD-D5B7-4D6F-972A-9870D693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i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8E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69373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CFC01-D97B-4A02-A7B6-F9007E7F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秋铭</dc:creator>
  <cp:keywords/>
  <dc:description/>
  <cp:lastModifiedBy>许 秋铭</cp:lastModifiedBy>
  <cp:revision>2</cp:revision>
  <dcterms:created xsi:type="dcterms:W3CDTF">2023-03-22T13:50:00Z</dcterms:created>
  <dcterms:modified xsi:type="dcterms:W3CDTF">2023-03-22T13:50:00Z</dcterms:modified>
</cp:coreProperties>
</file>