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K型经济的极致：当贫富差距极大时，GDP、消费增速等指标将失去意义</w:t>
      </w:r>
    </w:p>
    <w:p>
      <w:r>
        <w:t>公众号：丹湖渔翁</w:t>
      </w:r>
    </w:p>
    <w:p>
      <w:r>
        <w:t>发布时间：2026-01-28 08:25:22</w:t>
      </w:r>
    </w:p>
    <w:p>
      <w:r>
        <w:t>原文链接：http://mp.weixin.qq.com/s?__biz=MzAwNjAwNTc3Ng==&amp;mid=2448834509&amp;idx=1&amp;sn=d62a67d72bc9b78af297290ccb6b9874&amp;chksm=8f116ab2b866e3a489833d3ee96309b113c419bafff79b64bf5d14e2b1c98d753a2b0e0c987d#rd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