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C9D04">
      <w:pPr>
        <w:pStyle w:val="5"/>
        <w:tabs>
          <w:tab w:val="center" w:pos="4150"/>
          <w:tab w:val="left" w:pos="6048"/>
        </w:tabs>
        <w:spacing w:before="0" w:after="0" w:line="240" w:lineRule="auto"/>
        <w:rPr>
          <w:rFonts w:hint="eastAsia" w:ascii="小标宋" w:hAnsi="小标宋" w:eastAsia="小标宋" w:cs="小标宋"/>
          <w:b/>
          <w:color w:val="auto"/>
          <w:szCs w:val="21"/>
          <w:highlight w:val="none"/>
          <w:u w:val="none"/>
        </w:rPr>
      </w:pPr>
      <w:bookmarkStart w:id="0" w:name="_GoBack"/>
      <w:bookmarkEnd w:id="0"/>
      <w:r>
        <w:rPr>
          <w:rFonts w:hint="eastAsia" w:ascii="小标宋" w:hAnsi="小标宋" w:eastAsia="小标宋" w:cs="小标宋"/>
          <w:bCs/>
          <w:color w:val="auto"/>
          <w:highlight w:val="none"/>
          <w:u w:val="none"/>
          <w:lang w:val="en-US" w:eastAsia="zh-CN"/>
        </w:rPr>
        <w:t>杭州交投科创中心</w:t>
      </w:r>
      <w:r>
        <w:rPr>
          <w:rFonts w:hint="eastAsia" w:ascii="小标宋" w:hAnsi="小标宋" w:eastAsia="小标宋" w:cs="小标宋"/>
          <w:bCs/>
          <w:color w:val="auto"/>
          <w:highlight w:val="none"/>
          <w:u w:val="none"/>
        </w:rPr>
        <w:t>招商运营管理办法</w:t>
      </w:r>
    </w:p>
    <w:p w14:paraId="1D08336F">
      <w:pPr>
        <w:spacing w:line="560" w:lineRule="exact"/>
        <w:ind w:firstLine="0" w:firstLineChars="0"/>
        <w:jc w:val="center"/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</w:pPr>
    </w:p>
    <w:p w14:paraId="1B2BDFF6">
      <w:pPr>
        <w:spacing w:line="560" w:lineRule="exact"/>
        <w:ind w:firstLine="0" w:firstLineChars="0"/>
        <w:jc w:val="center"/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  <w:lang w:eastAsia="zh-CN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 xml:space="preserve">第一章  </w:t>
      </w: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  <w:lang w:eastAsia="zh-CN"/>
        </w:rPr>
        <w:t>总 则</w:t>
      </w:r>
    </w:p>
    <w:p w14:paraId="3474B454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第一条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规范杭州交投科创中心（以下简称“园区”）产业招商运营行为，增强园区产业招商运营管理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工作的规范性、合法性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及科学性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，明确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产业招商运营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相关责任部门职责，提升招商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运营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质量和效率，</w:t>
      </w:r>
      <w:r>
        <w:rPr>
          <w:rStyle w:val="20"/>
          <w:rFonts w:hint="eastAsia" w:ascii="仿宋_GB2312" w:hAnsi="仿宋_GB2312" w:eastAsia="仿宋_GB2312" w:cs="仿宋_GB2312"/>
          <w:color w:val="auto"/>
          <w:sz w:val="32"/>
          <w:szCs w:val="32"/>
        </w:rPr>
        <w:t>参照《杭州市交通投资集团有限公司专业房产管理办法（试行）》</w:t>
      </w:r>
      <w:r>
        <w:rPr>
          <w:rStyle w:val="20"/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特制订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本办法。</w:t>
      </w:r>
    </w:p>
    <w:p w14:paraId="32A43D87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第二条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园区产业招商应符合所在地产业发展相关政策。</w:t>
      </w:r>
    </w:p>
    <w:p w14:paraId="2310AE06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第三条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本办法仅适用于园区物业招商招租，物业包含办公用房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、产业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配套用房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</w:t>
      </w:r>
    </w:p>
    <w:p w14:paraId="6E9AFAF7">
      <w:pPr>
        <w:spacing w:line="560" w:lineRule="exact"/>
        <w:ind w:firstLine="0" w:firstLineChars="0"/>
        <w:jc w:val="center"/>
        <w:rPr>
          <w:rFonts w:ascii="黑体" w:hAnsi="黑体" w:eastAsia="黑体" w:cs="黑体"/>
          <w:bCs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第二章  招商运营工作职责</w:t>
      </w:r>
    </w:p>
    <w:p w14:paraId="7FE3E77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杭州交投智慧交通产业发展有限公司（以下简称公司）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作为园区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产业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运营管理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的责任单位，应切实履行主体责任，明确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相关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职能部门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建立园区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产业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运营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管理制度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确定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管理权限、决策程序和工作流程等。</w:t>
      </w:r>
    </w:p>
    <w:p w14:paraId="5DAFD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kern w:val="2"/>
          <w:sz w:val="32"/>
          <w:szCs w:val="32"/>
          <w:highlight w:val="none"/>
          <w:u w:val="none"/>
          <w:lang w:val="en-US" w:eastAsia="zh-CN" w:bidi="ar-SA"/>
        </w:rPr>
        <w:t>第五条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园区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业招商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运营管理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工作由公司统一管理。公司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招商运营部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作为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园区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产业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运营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主管业务部门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，负责组织实施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招商运营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工作。</w:t>
      </w:r>
    </w:p>
    <w:p w14:paraId="47D90FE4">
      <w:pPr>
        <w:pStyle w:val="17"/>
        <w:ind w:firstLine="0" w:firstLineChars="0"/>
        <w:jc w:val="left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第六条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 主要招商运营工作职责：</w:t>
      </w:r>
    </w:p>
    <w:p w14:paraId="41612965">
      <w:pPr>
        <w:widowControl/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1、负责拟定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园区产业规划、制定年度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计划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研究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招商政策与投资环境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及编写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招商综合资料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</w:p>
    <w:p w14:paraId="43D9599C">
      <w:pPr>
        <w:widowControl/>
        <w:spacing w:line="600" w:lineRule="exact"/>
        <w:ind w:firstLine="636" w:firstLineChars="199"/>
        <w:jc w:val="left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2、负责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园区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租赁信息和招商宣传资料的收集、拟定和发布，以及招商宣传推介工作。</w:t>
      </w:r>
    </w:p>
    <w:p w14:paraId="29802F45">
      <w:pPr>
        <w:widowControl/>
        <w:spacing w:line="600" w:lineRule="exact"/>
        <w:ind w:firstLine="636" w:firstLineChars="199"/>
        <w:jc w:val="left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、负责招商谈判及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租赁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合同的签订，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协调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招商项目的推进与落实，为客户提供综合咨询服务。</w:t>
      </w:r>
    </w:p>
    <w:p w14:paraId="7C7ACAB1">
      <w:pPr>
        <w:widowControl/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、负责招商台账的建立、录入和管理，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租金催缴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以及客户关系的建设和维护。</w:t>
      </w:r>
    </w:p>
    <w:p w14:paraId="415A0107">
      <w:pPr>
        <w:pStyle w:val="17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5、负责园区公共服务平台及产业发展平台建设，为园区客户提供全方位运营服务。</w:t>
      </w:r>
    </w:p>
    <w:p w14:paraId="50CAB1CF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kern w:val="2"/>
          <w:sz w:val="32"/>
          <w:szCs w:val="32"/>
          <w:highlight w:val="none"/>
          <w:u w:val="none"/>
          <w:lang w:val="en-US" w:eastAsia="zh-CN" w:bidi="ar-SA"/>
        </w:rPr>
        <w:t>第七条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根据园区运营阶段性实际需要，可委托专业机构提供产业招商运营服务，应建立年度考核机制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</w:t>
      </w:r>
    </w:p>
    <w:p w14:paraId="742E61C8">
      <w:pPr>
        <w:spacing w:line="560" w:lineRule="exact"/>
        <w:ind w:firstLine="0" w:firstLineChars="0"/>
        <w:jc w:val="center"/>
        <w:rPr>
          <w:rFonts w:ascii="黑体" w:hAnsi="黑体" w:eastAsia="黑体" w:cs="黑体"/>
          <w:bCs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第三章  产业招商</w:t>
      </w:r>
    </w:p>
    <w:p w14:paraId="4559BB99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基本原则</w:t>
      </w:r>
    </w:p>
    <w:p w14:paraId="3DB36A3C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1、坚持公开、透明原则。园区所有招商活动均采取公开、透明方式。</w:t>
      </w:r>
    </w:p>
    <w:p w14:paraId="299AE88E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2、坚持产业导向原则。引进符合园区产业定位的企业，并自觉遵守当地政府的政策和产业导向。</w:t>
      </w:r>
    </w:p>
    <w:p w14:paraId="256A1936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3、坚持效益优先原则。在产业导向基础上，充分发挥园区资源优势，形成产业聚集效应。</w:t>
      </w:r>
    </w:p>
    <w:p w14:paraId="1D4D9D4B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4、坚持专业服务原则。为客户提供高效、专业的服务。</w:t>
      </w:r>
    </w:p>
    <w:p w14:paraId="5A4645E1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5、坚持科学决策原则。严格规范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产业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招商决策程序和行为，坚持客观、可行、选优标准。</w:t>
      </w:r>
    </w:p>
    <w:p w14:paraId="0AA783D9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第九条  招商方式</w:t>
      </w:r>
    </w:p>
    <w:p w14:paraId="523A4040">
      <w:pPr>
        <w:spacing w:line="600" w:lineRule="exact"/>
        <w:ind w:firstLine="636" w:firstLineChars="199"/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园区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产业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招商，可采取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挂牌招租、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自主公开招标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商业谈判等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方式。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商业谈判要综合考虑企业注册、行业优势、履约能力及签约时间等方面因素选定客户，按照公司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相关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流程申报。</w:t>
      </w:r>
    </w:p>
    <w:p w14:paraId="0975BC37">
      <w:pPr>
        <w:numPr>
          <w:ilvl w:val="0"/>
          <w:numId w:val="0"/>
        </w:numPr>
        <w:adjustRightInd/>
        <w:snapToGrid/>
        <w:spacing w:line="560" w:lineRule="exact"/>
        <w:ind w:firstLineChars="200"/>
        <w:jc w:val="both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第十条  商业谈判工作流程</w:t>
      </w:r>
    </w:p>
    <w:p w14:paraId="5097EB1D">
      <w:pPr>
        <w:numPr>
          <w:ilvl w:val="0"/>
          <w:numId w:val="0"/>
        </w:numPr>
        <w:adjustRightInd/>
        <w:snapToGrid/>
        <w:spacing w:line="560" w:lineRule="exact"/>
        <w:ind w:firstLineChars="200"/>
        <w:jc w:val="both"/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1、租赁评估</w:t>
      </w:r>
    </w:p>
    <w:p w14:paraId="4AE7F553">
      <w:pPr>
        <w:pStyle w:val="2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eastAsia="zh-CN" w:bidi="ar-SA"/>
        </w:rPr>
        <w:t>应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lang w:eastAsia="zh-CN" w:bidi="ar-SA"/>
        </w:rPr>
        <w:t>委托有资质的中介机构，根据房产价值、所处地段、租赁市场行情等因素，对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园区待招商区域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lang w:eastAsia="zh-CN" w:bidi="ar-SA"/>
        </w:rPr>
        <w:t>租金进行评估，以评估结果作为确定租金底价的依据，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lang w:val="en-US" w:eastAsia="zh-CN" w:bidi="ar-SA"/>
        </w:rPr>
        <w:t>并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完成评估备案。</w:t>
      </w:r>
    </w:p>
    <w:p w14:paraId="07DFD004">
      <w:pPr>
        <w:numPr>
          <w:ilvl w:val="0"/>
          <w:numId w:val="0"/>
        </w:numPr>
        <w:adjustRightInd/>
        <w:snapToGrid/>
        <w:spacing w:line="560" w:lineRule="exact"/>
        <w:ind w:firstLineChars="200"/>
        <w:jc w:val="both"/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2、确定底价</w:t>
      </w:r>
    </w:p>
    <w:p w14:paraId="4A5DCA0E">
      <w:pPr>
        <w:numPr>
          <w:ilvl w:val="0"/>
          <w:numId w:val="0"/>
        </w:numPr>
        <w:tabs>
          <w:tab w:val="left" w:pos="0"/>
        </w:tabs>
        <w:adjustRightInd/>
        <w:snapToGrid/>
        <w:spacing w:line="302" w:lineRule="auto"/>
        <w:ind w:left="30" w:right="19" w:firstLine="650" w:firstLineChars="0"/>
        <w:jc w:val="left"/>
        <w:outlineLvl w:val="9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应以租金评估价为有效依据，并根据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lang w:eastAsia="zh-CN" w:bidi="ar-SA"/>
        </w:rPr>
        <w:t>房产所在地段、类型、功能、用途相似的租赁市场价格以及有关租金参考价等，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确定科学合理的招商底价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val="en-US" w:eastAsia="zh-CN" w:bidi="ar"/>
        </w:rPr>
        <w:t>并报经总经理办公会讨论通过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eastAsia="zh-CN" w:bidi="ar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租赁价格一般不得低于租赁底价。</w:t>
      </w:r>
    </w:p>
    <w:p w14:paraId="586D611D">
      <w:pPr>
        <w:numPr>
          <w:ilvl w:val="0"/>
          <w:numId w:val="0"/>
        </w:numPr>
        <w:adjustRightInd/>
        <w:snapToGrid/>
        <w:spacing w:line="560" w:lineRule="exact"/>
        <w:ind w:firstLineChars="200"/>
        <w:jc w:val="both"/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3、信息发布</w:t>
      </w:r>
    </w:p>
    <w:p w14:paraId="3CEC65E2">
      <w:pPr>
        <w:widowControl/>
        <w:autoSpaceDN w:val="0"/>
        <w:spacing w:line="560" w:lineRule="exact"/>
        <w:ind w:firstLine="559"/>
        <w:jc w:val="left"/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应遵循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bidi="ar"/>
        </w:rPr>
        <w:t>“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公开、公平、公正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bidi="ar"/>
        </w:rPr>
        <w:t>”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的原则，多渠道发布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val="en-US" w:eastAsia="zh-CN" w:bidi="ar"/>
        </w:rPr>
        <w:t>园区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招商信息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val="en-US" w:eastAsia="zh-CN" w:bidi="ar"/>
        </w:rPr>
        <w:t>应在市公共资源交易中心或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产权交易机构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val="en-US" w:eastAsia="zh-CN" w:bidi="ar"/>
        </w:rPr>
        <w:t>发布招商信息、可在市级及以上公众媒体、集团招租平台等有较强影响力的信息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平台扩大受众面。</w:t>
      </w:r>
    </w:p>
    <w:p w14:paraId="236A586F">
      <w:pPr>
        <w:numPr>
          <w:ilvl w:val="0"/>
          <w:numId w:val="0"/>
        </w:numPr>
        <w:adjustRightInd/>
        <w:snapToGrid/>
        <w:spacing w:line="560" w:lineRule="exact"/>
        <w:ind w:firstLineChars="200"/>
        <w:jc w:val="both"/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4、客户洽谈及审批</w:t>
      </w:r>
    </w:p>
    <w:p w14:paraId="07680E29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客户洽谈应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2人以上参与谈判并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做好记录，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商务谈判结果经总经理办公会讨论通过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招商物业单次出租期限原则上不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得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超过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年（含）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因租赁面积大、装修改造投入较大等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特殊需要确需超过10年的，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val="en-US" w:eastAsia="zh-CN" w:bidi="ar"/>
        </w:rPr>
        <w:t>应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bidi="ar"/>
        </w:rPr>
        <w:t>逐级上报集团公司董事会审议决策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highlight w:val="none"/>
          <w:lang w:bidi="ar"/>
        </w:rPr>
        <w:t>最长不得超过20年。</w:t>
      </w:r>
    </w:p>
    <w:p w14:paraId="2465C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6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单项合同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首年租金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超过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100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万元（含）的，应提交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资产管理公司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总经理办公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研究决定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。</w:t>
      </w:r>
    </w:p>
    <w:p w14:paraId="1F70E31A">
      <w:pPr>
        <w:pStyle w:val="17"/>
        <w:numPr>
          <w:ilvl w:val="0"/>
          <w:numId w:val="0"/>
        </w:numPr>
        <w:spacing w:line="560" w:lineRule="exact"/>
        <w:ind w:firstLine="636" w:firstLineChars="0"/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5、合同签约</w:t>
      </w:r>
    </w:p>
    <w:p w14:paraId="7C11F9E0">
      <w:pPr>
        <w:pStyle w:val="17"/>
        <w:numPr>
          <w:ilvl w:val="0"/>
          <w:numId w:val="0"/>
        </w:numPr>
        <w:spacing w:line="560" w:lineRule="exact"/>
        <w:ind w:firstLine="636" w:firstLineChars="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园区使用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统一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的《房屋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租赁合同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范本，可根据实际需要对范本内容进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行调整与修改。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租赁合同文本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应定期修订，无特殊情况原则上优先使用范本合同。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应在合同中约定，未经出租人书面同意，承租人不得擅自转租，以及承租人擅自转租的违约责任。确需转租的，承租人应提出书面申请，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由原审批机构重新决策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bidi="ar"/>
        </w:rPr>
        <w:t>。</w:t>
      </w:r>
    </w:p>
    <w:p w14:paraId="64800319">
      <w:pPr>
        <w:pStyle w:val="17"/>
        <w:numPr>
          <w:ilvl w:val="0"/>
          <w:numId w:val="0"/>
        </w:numPr>
        <w:spacing w:line="560" w:lineRule="exact"/>
        <w:ind w:firstLine="636" w:firstLineChars="0"/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 w:bidi="ar-SA"/>
        </w:rPr>
        <w:t>6、合同续约</w:t>
      </w:r>
    </w:p>
    <w:p w14:paraId="551F9D3B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合同到期后，应当重新公开招商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招租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。原客户要求续约的，应综合考虑其履约评价情况、市场环境、业态规划、物业价格等因素，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符合年度招商方案的情况，可直接续约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</w:t>
      </w:r>
    </w:p>
    <w:p w14:paraId="564D8146">
      <w:pPr>
        <w:spacing w:line="560" w:lineRule="exact"/>
        <w:ind w:firstLine="0" w:firstLineChars="0"/>
        <w:jc w:val="center"/>
        <w:rPr>
          <w:rFonts w:ascii="黑体" w:hAnsi="黑体" w:eastAsia="黑体" w:cs="黑体"/>
          <w:bCs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第四章  产业运营管理</w:t>
      </w:r>
    </w:p>
    <w:p w14:paraId="26F35B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十一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要加强园区物业的实物管理、权属管理、安全管理，做到权属清晰、账证一致，证实相符、安全设施到位。</w:t>
      </w:r>
    </w:p>
    <w:p w14:paraId="0EDAC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第十二条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</w:rPr>
        <w:t>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财务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及时提供租金到账情况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。</w:t>
      </w:r>
    </w:p>
    <w:p w14:paraId="53C3E29A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第十三条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招商运营部应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建立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园区合同管理台账，加强合同履约监管，编制租金收缴报表，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及时催缴租金到账。并严格遵守财务制度规范财务核算，严禁隐瞒、截留租金等行为。</w:t>
      </w:r>
    </w:p>
    <w:p w14:paraId="6E13E405">
      <w:pPr>
        <w:pStyle w:val="17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kern w:val="2"/>
          <w:sz w:val="32"/>
          <w:szCs w:val="32"/>
          <w:highlight w:val="none"/>
          <w:u w:val="none"/>
          <w:lang w:val="en-US" w:eastAsia="zh-CN" w:bidi="ar-SA"/>
        </w:rPr>
        <w:t>第十四条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公司招商运营部应为园区企业提供项目申报、资质认证、市场对接、政策解读、投融资等服务，不定期进行论坛培训、展览展示等活动，并通过个性化服务不断增强科技服务能力，积极导入相关产业资源。</w:t>
      </w:r>
    </w:p>
    <w:p w14:paraId="2C266E2F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第十五条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公司招商运营部应按照公司细则，按期完成租金收缴工作，建立相关考核制度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</w:t>
      </w:r>
    </w:p>
    <w:p w14:paraId="5ECC89CD">
      <w:pPr>
        <w:spacing w:line="560" w:lineRule="exact"/>
        <w:ind w:firstLine="0" w:firstLineChars="0"/>
        <w:jc w:val="center"/>
        <w:rPr>
          <w:rFonts w:ascii="黑体" w:hAnsi="黑体" w:eastAsia="黑体" w:cs="黑体"/>
          <w:bCs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第五章</w:t>
      </w: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监督管理</w:t>
      </w:r>
    </w:p>
    <w:p w14:paraId="51A9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十六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加强对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园区房产出租和日常运营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管理的监督，确保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园区产业招商运营管理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工作规范有序进行。对滥用职权、玩忽职守等造成国有资产损失且情节严重的，应按照有关规定，依法追究相关人员责任。</w:t>
      </w:r>
    </w:p>
    <w:p w14:paraId="3F498851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第十七条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/>
          <w:color w:val="auto"/>
          <w:sz w:val="32"/>
          <w:szCs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24"/>
          <w:highlight w:val="none"/>
        </w:rPr>
        <w:t>公司应对园区</w:t>
      </w:r>
      <w:r>
        <w:rPr>
          <w:rFonts w:hint="eastAsia" w:ascii="仿宋_GB2312" w:hAnsi="仿宋_GB2312" w:eastAsia="仿宋_GB2312" w:cs="仿宋_GB2312"/>
          <w:color w:val="auto"/>
          <w:sz w:val="32"/>
          <w:szCs w:val="24"/>
          <w:highlight w:val="none"/>
          <w:lang w:val="en-US" w:eastAsia="zh-CN"/>
        </w:rPr>
        <w:t>产业</w:t>
      </w:r>
      <w:r>
        <w:rPr>
          <w:rFonts w:hint="eastAsia" w:ascii="仿宋_GB2312" w:hAnsi="仿宋_GB2312" w:eastAsia="仿宋_GB2312" w:cs="仿宋_GB2312"/>
          <w:color w:val="auto"/>
          <w:sz w:val="32"/>
          <w:szCs w:val="24"/>
          <w:highlight w:val="none"/>
        </w:rPr>
        <w:t>招商</w:t>
      </w:r>
      <w:r>
        <w:rPr>
          <w:rFonts w:hint="eastAsia" w:ascii="仿宋_GB2312" w:hAnsi="仿宋_GB2312" w:eastAsia="仿宋_GB2312" w:cs="仿宋_GB2312"/>
          <w:color w:val="auto"/>
          <w:sz w:val="32"/>
          <w:szCs w:val="24"/>
          <w:highlight w:val="none"/>
          <w:lang w:val="en-US" w:eastAsia="zh-CN"/>
        </w:rPr>
        <w:t>运营管理</w:t>
      </w:r>
      <w:r>
        <w:rPr>
          <w:rFonts w:hint="eastAsia" w:ascii="仿宋_GB2312" w:hAnsi="仿宋_GB2312" w:eastAsia="仿宋_GB2312" w:cs="仿宋_GB2312"/>
          <w:color w:val="auto"/>
          <w:sz w:val="32"/>
          <w:szCs w:val="24"/>
          <w:highlight w:val="none"/>
        </w:rPr>
        <w:t>情况进行定期检查和重点抽查。公司应加强内部审计，开展园区</w:t>
      </w:r>
      <w:r>
        <w:rPr>
          <w:rFonts w:hint="eastAsia" w:ascii="仿宋_GB2312" w:hAnsi="仿宋_GB2312" w:eastAsia="仿宋_GB2312" w:cs="仿宋_GB2312"/>
          <w:color w:val="auto"/>
          <w:sz w:val="32"/>
          <w:szCs w:val="24"/>
          <w:highlight w:val="none"/>
          <w:lang w:val="en-US" w:eastAsia="zh-CN"/>
        </w:rPr>
        <w:t>产业招商运营管理</w:t>
      </w:r>
      <w:r>
        <w:rPr>
          <w:rFonts w:hint="eastAsia" w:ascii="仿宋_GB2312" w:hAnsi="仿宋_GB2312" w:eastAsia="仿宋_GB2312" w:cs="仿宋_GB2312"/>
          <w:color w:val="auto"/>
          <w:sz w:val="32"/>
          <w:szCs w:val="24"/>
          <w:highlight w:val="none"/>
        </w:rPr>
        <w:t>专项检查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</w:t>
      </w:r>
    </w:p>
    <w:p w14:paraId="3EB5B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0" w:firstLineChars="0"/>
        <w:jc w:val="center"/>
        <w:textAlignment w:val="auto"/>
        <w:rPr>
          <w:rFonts w:ascii="仿宋_GB2312" w:hAnsi="仿宋_GB2312" w:eastAsia="仿宋_GB2312" w:cs="仿宋_GB2312"/>
          <w:b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highlight w:val="none"/>
          <w:u w:val="none"/>
        </w:rPr>
        <w:t>第六章</w:t>
      </w:r>
      <w:r>
        <w:rPr>
          <w:rFonts w:ascii="黑体" w:hAnsi="黑体" w:eastAsia="黑体" w:cs="黑体"/>
          <w:b w:val="0"/>
          <w:bCs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highlight w:val="none"/>
          <w:u w:val="none"/>
        </w:rPr>
        <w:t>附 则</w:t>
      </w:r>
    </w:p>
    <w:p w14:paraId="66824F03">
      <w:pPr>
        <w:spacing w:line="560" w:lineRule="exact"/>
        <w:ind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十八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因工作需要设立招商奖励的，另行研究拟订。</w:t>
      </w:r>
    </w:p>
    <w:p w14:paraId="2A4B3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第十九条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国家、省、市法律法规已有规定的，从其规定。</w:t>
      </w:r>
    </w:p>
    <w:p w14:paraId="37D927A2">
      <w:pPr>
        <w:widowControl/>
        <w:ind w:firstLine="640" w:firstLineChars="200"/>
        <w:jc w:val="left"/>
        <w:textAlignment w:val="center"/>
        <w:rPr>
          <w:rFonts w:hint="eastAsia"/>
          <w:color w:va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第二十条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本办法自印发之日起执行，由公司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负责解释和修订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书宋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D1E1A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9E58E">
                          <w:pPr>
                            <w:pStyle w:val="11"/>
                            <w:ind w:left="320" w:leftChars="100" w:right="320" w:rightChars="100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  <w:p w14:paraId="4DCE3675">
                          <w:pPr>
                            <w:pStyle w:val="11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F+UJskBAACZAwAADgAAAGRycy9lMm9Eb2MueG1srVPNjtMwEL4j8Q6W&#10;79TZaoW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UX5Qm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79E58E">
                    <w:pPr>
                      <w:pStyle w:val="11"/>
                      <w:ind w:left="320" w:leftChars="100" w:right="320" w:rightChars="100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  <w:p w14:paraId="4DCE3675">
                    <w:pPr>
                      <w:pStyle w:val="11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FA497">
    <w:pPr>
      <w:pStyle w:val="12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03550AC"/>
    <w:rsid w:val="011407B8"/>
    <w:rsid w:val="027A76EE"/>
    <w:rsid w:val="03D472D2"/>
    <w:rsid w:val="052971A9"/>
    <w:rsid w:val="06902B37"/>
    <w:rsid w:val="086B6949"/>
    <w:rsid w:val="0AA71F06"/>
    <w:rsid w:val="0B662F05"/>
    <w:rsid w:val="0CC06154"/>
    <w:rsid w:val="0E8E1E00"/>
    <w:rsid w:val="0F442881"/>
    <w:rsid w:val="10482561"/>
    <w:rsid w:val="148D27AB"/>
    <w:rsid w:val="14C84800"/>
    <w:rsid w:val="151614F8"/>
    <w:rsid w:val="175A77B8"/>
    <w:rsid w:val="1A2B3336"/>
    <w:rsid w:val="1A352420"/>
    <w:rsid w:val="1ADA2FC8"/>
    <w:rsid w:val="1B7156DA"/>
    <w:rsid w:val="1D036806"/>
    <w:rsid w:val="1D5A3F4C"/>
    <w:rsid w:val="1E2F362A"/>
    <w:rsid w:val="1EF61CF9"/>
    <w:rsid w:val="204C04C4"/>
    <w:rsid w:val="221A1EFC"/>
    <w:rsid w:val="235C0F21"/>
    <w:rsid w:val="23CB7951"/>
    <w:rsid w:val="25C54403"/>
    <w:rsid w:val="265424E3"/>
    <w:rsid w:val="26A20DF4"/>
    <w:rsid w:val="277327DA"/>
    <w:rsid w:val="283A50A6"/>
    <w:rsid w:val="291122AA"/>
    <w:rsid w:val="29C015DB"/>
    <w:rsid w:val="2C8B2374"/>
    <w:rsid w:val="31BF0120"/>
    <w:rsid w:val="32FB3FA8"/>
    <w:rsid w:val="337A0A2F"/>
    <w:rsid w:val="38A709A4"/>
    <w:rsid w:val="38F05AAD"/>
    <w:rsid w:val="39CF3DA4"/>
    <w:rsid w:val="3AF56CD5"/>
    <w:rsid w:val="3F016E1E"/>
    <w:rsid w:val="3F992249"/>
    <w:rsid w:val="41C76F4A"/>
    <w:rsid w:val="43590DB4"/>
    <w:rsid w:val="44205A10"/>
    <w:rsid w:val="46DD1730"/>
    <w:rsid w:val="47AF4636"/>
    <w:rsid w:val="49086A74"/>
    <w:rsid w:val="491868E5"/>
    <w:rsid w:val="49E8111A"/>
    <w:rsid w:val="4B47288B"/>
    <w:rsid w:val="4CAF57B3"/>
    <w:rsid w:val="4CEE62DB"/>
    <w:rsid w:val="4CF16D42"/>
    <w:rsid w:val="4D4F1685"/>
    <w:rsid w:val="4DEA6AA2"/>
    <w:rsid w:val="4ED20C83"/>
    <w:rsid w:val="51152395"/>
    <w:rsid w:val="52D47D21"/>
    <w:rsid w:val="536A2433"/>
    <w:rsid w:val="53D919D2"/>
    <w:rsid w:val="56F37D99"/>
    <w:rsid w:val="576E0201"/>
    <w:rsid w:val="57827FF4"/>
    <w:rsid w:val="57DA7B88"/>
    <w:rsid w:val="59F67BEB"/>
    <w:rsid w:val="5B0D2022"/>
    <w:rsid w:val="5BC30D7D"/>
    <w:rsid w:val="61E57855"/>
    <w:rsid w:val="63E3341E"/>
    <w:rsid w:val="653C2396"/>
    <w:rsid w:val="657B39ED"/>
    <w:rsid w:val="65CB0B10"/>
    <w:rsid w:val="669C24AC"/>
    <w:rsid w:val="697C1F47"/>
    <w:rsid w:val="6AD761A9"/>
    <w:rsid w:val="6E53384B"/>
    <w:rsid w:val="70C44AD9"/>
    <w:rsid w:val="72E66F89"/>
    <w:rsid w:val="74510D7A"/>
    <w:rsid w:val="75466405"/>
    <w:rsid w:val="756B19C7"/>
    <w:rsid w:val="75B50420"/>
    <w:rsid w:val="75E66401"/>
    <w:rsid w:val="76662BDA"/>
    <w:rsid w:val="7950774B"/>
    <w:rsid w:val="79703A50"/>
    <w:rsid w:val="7A083C89"/>
    <w:rsid w:val="7B113011"/>
    <w:rsid w:val="7F9D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4">
    <w:name w:val="heading 1"/>
    <w:basedOn w:val="1"/>
    <w:next w:val="1"/>
    <w:link w:val="26"/>
    <w:qFormat/>
    <w:uiPriority w:val="1"/>
    <w:pPr>
      <w:ind w:left="250" w:right="415"/>
      <w:jc w:val="center"/>
      <w:outlineLvl w:val="1"/>
    </w:pPr>
    <w:rPr>
      <w:rFonts w:ascii="小标宋" w:hAnsi="小标宋" w:eastAsia="小标宋" w:cs="小标宋"/>
      <w:sz w:val="44"/>
      <w:szCs w:val="44"/>
      <w:lang w:val="zh-CN" w:eastAsia="zh-CN" w:bidi="zh-CN"/>
    </w:rPr>
  </w:style>
  <w:style w:type="paragraph" w:styleId="5">
    <w:name w:val="heading 2"/>
    <w:basedOn w:val="6"/>
    <w:next w:val="1"/>
    <w:qFormat/>
    <w:uiPriority w:val="0"/>
    <w:pPr>
      <w:keepNext/>
      <w:keepLines/>
      <w:spacing w:before="260" w:after="260" w:line="413" w:lineRule="auto"/>
      <w:jc w:val="center"/>
      <w:outlineLvl w:val="1"/>
    </w:pPr>
    <w:rPr>
      <w:rFonts w:ascii="Times New Roman" w:hAnsi="Times New Roman" w:eastAsia="方正书宋简体"/>
      <w:kern w:val="0"/>
      <w:sz w:val="44"/>
      <w:szCs w:val="20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3">
    <w:name w:val="Body Text"/>
    <w:basedOn w:val="1"/>
    <w:next w:val="1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styleId="6">
    <w:name w:val="toa heading"/>
    <w:basedOn w:val="1"/>
    <w:next w:val="1"/>
    <w:unhideWhenUsed/>
    <w:qFormat/>
    <w:uiPriority w:val="99"/>
    <w:pPr>
      <w:spacing w:before="120"/>
    </w:pPr>
    <w:rPr>
      <w:rFonts w:ascii="Arial" w:hAnsi="Arial"/>
      <w:sz w:val="24"/>
    </w:r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Body Text Indent"/>
    <w:basedOn w:val="1"/>
    <w:next w:val="1"/>
    <w:qFormat/>
    <w:uiPriority w:val="0"/>
    <w:pPr>
      <w:ind w:firstLine="7290"/>
    </w:pPr>
    <w:rPr>
      <w:sz w:val="28"/>
    </w:rPr>
  </w:style>
  <w:style w:type="paragraph" w:styleId="9">
    <w:name w:val="Plain Text"/>
    <w:basedOn w:val="1"/>
    <w:qFormat/>
    <w:uiPriority w:val="0"/>
    <w:rPr>
      <w:rFonts w:ascii="宋体" w:hAnsi="Courier New" w:cs="Courier New"/>
    </w:rPr>
  </w:style>
  <w:style w:type="paragraph" w:styleId="10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1">
    <w:name w:val="footer"/>
    <w:basedOn w:val="1"/>
    <w:unhideWhenUsed/>
    <w:qFormat/>
    <w:uiPriority w:val="0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2">
    <w:name w:val="header"/>
    <w:basedOn w:val="1"/>
    <w:next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Title"/>
    <w:next w:val="1"/>
    <w:qFormat/>
    <w:uiPriority w:val="10"/>
    <w:pPr>
      <w:widowControl w:val="0"/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kern w:val="2"/>
      <w:sz w:val="32"/>
      <w:szCs w:val="32"/>
      <w:lang w:val="en-US" w:eastAsia="zh-CN" w:bidi="ar-SA"/>
    </w:rPr>
  </w:style>
  <w:style w:type="paragraph" w:styleId="16">
    <w:name w:val="Body Text First Indent"/>
    <w:basedOn w:val="3"/>
    <w:next w:val="1"/>
    <w:qFormat/>
    <w:uiPriority w:val="99"/>
    <w:pPr>
      <w:ind w:firstLine="420" w:firstLineChars="100"/>
    </w:pPr>
  </w:style>
  <w:style w:type="paragraph" w:styleId="17">
    <w:name w:val="Body Text First Indent 2"/>
    <w:basedOn w:val="8"/>
    <w:qFormat/>
    <w:uiPriority w:val="0"/>
    <w:pPr>
      <w:spacing w:line="360" w:lineRule="auto"/>
      <w:ind w:firstLine="420" w:firstLineChars="200"/>
    </w:pPr>
    <w:rPr>
      <w:rFonts w:ascii="Calibri" w:hAnsi="Calibri"/>
      <w:sz w:val="24"/>
      <w:szCs w:val="22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page number"/>
    <w:basedOn w:val="20"/>
    <w:unhideWhenUsed/>
    <w:qFormat/>
    <w:uiPriority w:val="0"/>
  </w:style>
  <w:style w:type="character" w:styleId="22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paragraph" w:customStyle="1" w:styleId="23">
    <w:name w:val="_Style 2"/>
    <w:basedOn w:val="1"/>
    <w:autoRedefine/>
    <w:qFormat/>
    <w:uiPriority w:val="0"/>
    <w:pPr>
      <w:ind w:firstLine="200" w:firstLineChars="200"/>
    </w:pPr>
    <w:rPr>
      <w:sz w:val="28"/>
    </w:rPr>
  </w:style>
  <w:style w:type="character" w:customStyle="1" w:styleId="24">
    <w:name w:val="font01"/>
    <w:basedOn w:val="20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25">
    <w:name w:val="font11"/>
    <w:basedOn w:val="20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6">
    <w:name w:val="标题 1 字符"/>
    <w:link w:val="4"/>
    <w:qFormat/>
    <w:uiPriority w:val="9"/>
    <w:rPr>
      <w:rFonts w:ascii="小标宋" w:hAnsi="小标宋" w:eastAsia="小标宋" w:cs="小标宋"/>
      <w:sz w:val="44"/>
      <w:szCs w:val="44"/>
      <w:lang w:val="zh-CN" w:eastAsia="zh-CN" w:bidi="zh-CN"/>
    </w:rPr>
  </w:style>
  <w:style w:type="table" w:customStyle="1" w:styleId="2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8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9">
    <w:name w:val="列出段落1"/>
    <w:basedOn w:val="1"/>
    <w:qFormat/>
    <w:uiPriority w:val="34"/>
    <w:pPr>
      <w:ind w:firstLine="420" w:firstLineChars="200"/>
    </w:pPr>
  </w:style>
  <w:style w:type="character" w:customStyle="1" w:styleId="30">
    <w:name w:val="font61"/>
    <w:basedOn w:val="20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  <w:style w:type="character" w:customStyle="1" w:styleId="31">
    <w:name w:val="font41"/>
    <w:basedOn w:val="2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32">
    <w:name w:val="Table caption|1"/>
    <w:basedOn w:val="1"/>
    <w:qFormat/>
    <w:uiPriority w:val="0"/>
    <w:pPr>
      <w:autoSpaceDE w:val="0"/>
      <w:autoSpaceDN w:val="0"/>
      <w:spacing w:line="314" w:lineRule="exact"/>
      <w:ind w:firstLine="874" w:firstLineChars="200"/>
      <w:jc w:val="left"/>
    </w:pPr>
    <w:rPr>
      <w:rFonts w:ascii="宋体" w:hAnsi="宋体" w:eastAsia="宋体" w:cs="宋体"/>
      <w:kern w:val="0"/>
      <w:sz w:val="22"/>
      <w:szCs w:val="22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14709</Words>
  <Characters>15000</Characters>
  <Lines>0</Lines>
  <Paragraphs>0</Paragraphs>
  <TotalTime>5</TotalTime>
  <ScaleCrop>false</ScaleCrop>
  <LinksUpToDate>false</LinksUpToDate>
  <CharactersWithSpaces>15864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2024-07-12T07:20:00Z</dcterms:created>
  <dc:creator>Administrator</dc:creator>
  <cp:lastModifiedBy>沈涌</cp:lastModifiedBy>
  <dcterms:modified xsi:type="dcterms:W3CDTF">2026-07-30T08:28:21Z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86442A56F7C94B42835478C392C720E1_12</vt:lpwstr>
  </property>
  <property fmtid="{D5CDD505-2E9C-101B-9397-08002B2CF9AE}" pid="4" name="KSOTemplateDocerSaveRecord">
    <vt:lpwstr>eyJoZGlkIjoiYWYxZjUyZDlmNWE3ZTZmYjQ4ZmY5YWE2YTIzYjY1ZGQiLCJ1c2VySWQiOiIxMTU5OTEwNDAwIn0=</vt:lpwstr>
  </property>
</Properties>
</file>