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B2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0" w:firstLineChars="0"/>
        <w:jc w:val="center"/>
        <w:rPr>
          <w:rFonts w:hint="default" w:ascii="小标宋" w:hAnsi="小标宋" w:eastAsia="小标宋" w:cs="小标宋"/>
          <w:color w:val="auto"/>
          <w:spacing w:val="-4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pacing w:val="-4"/>
          <w:sz w:val="44"/>
          <w:szCs w:val="44"/>
          <w:lang w:val="en-US" w:eastAsia="zh-CN"/>
        </w:rPr>
        <w:t>杭州交投智慧交通产业发展有限公司</w:t>
      </w:r>
    </w:p>
    <w:p w14:paraId="26E4C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0" w:firstLineChars="0"/>
        <w:jc w:val="center"/>
        <w:rPr>
          <w:rFonts w:hint="eastAsia" w:ascii="小标宋" w:hAnsi="小标宋" w:eastAsia="小标宋" w:cs="小标宋"/>
          <w:color w:val="auto"/>
          <w:spacing w:val="-4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pacing w:val="-4"/>
          <w:sz w:val="44"/>
          <w:szCs w:val="44"/>
          <w:lang w:val="en-US" w:eastAsia="zh-CN"/>
        </w:rPr>
        <w:t>目标责任考核奖励办法</w:t>
      </w:r>
    </w:p>
    <w:p w14:paraId="054DE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 w14:paraId="719C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为进一步完善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杭州交投智慧交通产业发展有限公司（以下简称“公司”）运行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机制，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在市场竞争中保持优势、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提高效益，鼓励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调动员工积极性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结合公司员工薪酬管理办法制定本方案，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具体如下：</w:t>
      </w:r>
    </w:p>
    <w:p w14:paraId="5837B44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一、基本原则</w:t>
      </w:r>
    </w:p>
    <w:p w14:paraId="03FC0EF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以公平、公正、公开为原则，公司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提质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增效、员工多劳多得。</w:t>
      </w:r>
    </w:p>
    <w:p w14:paraId="60E1E11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考核对象</w:t>
      </w:r>
    </w:p>
    <w:p w14:paraId="645FE0C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公司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中层及中层以下员工；</w:t>
      </w:r>
    </w:p>
    <w:p w14:paraId="4A7462E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="0" w:afterAutospacing="0" w:line="560" w:lineRule="exact"/>
        <w:ind w:left="0" w:leftChars="0" w:right="0" w:rightChars="0" w:firstLine="640" w:firstLineChars="200"/>
        <w:rPr>
          <w:rFonts w:hint="default"/>
          <w:color w:val="auto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廉易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超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人员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（考核及奖励归口部门为工程技术部）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1821A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三、考核方式及周期</w:t>
      </w:r>
    </w:p>
    <w:p w14:paraId="48B85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考核方式：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采用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基础考核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（季度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年度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+接轨市场的“招商奖励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”相结合的方式</w:t>
      </w:r>
      <w:r>
        <w:rPr>
          <w:rFonts w:hint="eastAsia" w:ascii="仿宋_GB2312" w:hAnsi="仿宋_GB2312" w:cs="仿宋_GB2312"/>
          <w:color w:val="auto"/>
          <w:sz w:val="32"/>
          <w:szCs w:val="32"/>
          <w:lang w:eastAsia="zh-CN"/>
        </w:rPr>
        <w:t>。</w:t>
      </w:r>
    </w:p>
    <w:p w14:paraId="2991C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考核周期</w:t>
      </w:r>
      <w:r>
        <w:rPr>
          <w:rFonts w:hint="eastAsia" w:ascii="仿宋_GB2312" w:hAnsi="仿宋_GB2312" w:cs="仿宋_GB2312"/>
          <w:color w:val="auto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每年1月1日至12月31日。</w:t>
      </w:r>
    </w:p>
    <w:p w14:paraId="4876675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仿宋_GB2312" w:hAnsi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四、考核流程</w:t>
      </w:r>
    </w:p>
    <w:p w14:paraId="29EC7218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（一）基础考核</w:t>
      </w:r>
    </w:p>
    <w:p w14:paraId="1BC11598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1、公司根据年度重点工作和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指标制定公司各部门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基础考核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指标。</w:t>
      </w:r>
    </w:p>
    <w:p w14:paraId="06D18DAC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2、部门负责人根据部门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基础考核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指标，制定部门成员的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基础考核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指标。</w:t>
      </w:r>
    </w:p>
    <w:p w14:paraId="57F7B661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3、每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季度末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，部门完成内部员工的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指标的考核，向公司提交员工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考核结果及部门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重点工作、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指标的完成情况。</w:t>
      </w:r>
    </w:p>
    <w:p w14:paraId="579606A6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4、每年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年底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，部门完成内部员工的年度重点工作和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指标的考核，向公司提交年度员工考核结果及部门年度重点工作、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指标的完成情况。</w:t>
      </w:r>
    </w:p>
    <w:p w14:paraId="7CF4685D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5、第四季度考核与年度考核合并，不再单独考核。</w:t>
      </w:r>
    </w:p>
    <w:p w14:paraId="51760EF8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6、廉易商超工作人员的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重点工作和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指标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采用年度考核方式，由工程技术部统一实施。</w:t>
      </w:r>
    </w:p>
    <w:p w14:paraId="2614458E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、部门及员工的考核结果需报公司审核。</w:t>
      </w:r>
    </w:p>
    <w:p w14:paraId="347FD478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（二）招商奖励</w:t>
      </w:r>
    </w:p>
    <w:p w14:paraId="0592D467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每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季度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初5个工作日内，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招商运营部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对上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季度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已达到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奖励金发放标准的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成交数据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进行统计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由部门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负责人签字确认，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综合服务部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核对，分管领导审核，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报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总经理办公会研究讨论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后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确定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47E2D5EB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2、部门招商奖励金由部门负责人进行分配，分配结果报分管领导审核后予以发放。</w:t>
      </w:r>
    </w:p>
    <w:p w14:paraId="5ED0B62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五、考核、奖励及结果运用</w:t>
      </w:r>
    </w:p>
    <w:p w14:paraId="3C9848CB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（一）基础考核</w:t>
      </w:r>
    </w:p>
    <w:p w14:paraId="3F21555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highlight w:val="none"/>
          <w:lang w:val="en-US" w:eastAsia="zh-CN"/>
        </w:rPr>
        <w:t>1、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基础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考核分为部门考核和员工考核，考核内容为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经营指标和重点工作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3A47A6C7"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  <w:highlight w:val="none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kern w:val="0"/>
          <w:sz w:val="32"/>
          <w:szCs w:val="32"/>
          <w:highlight w:val="none"/>
        </w:rPr>
        <w:t>指标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kern w:val="0"/>
          <w:sz w:val="32"/>
          <w:szCs w:val="32"/>
          <w:highlight w:val="none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根据公司年度目标，结合部门职责确定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。</w:t>
      </w:r>
    </w:p>
    <w:p w14:paraId="6F14D97B"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3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kern w:val="0"/>
          <w:sz w:val="32"/>
          <w:szCs w:val="32"/>
          <w:highlight w:val="none"/>
          <w:lang w:eastAsia="zh-CN"/>
        </w:rPr>
        <w:t>重点工作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0"/>
          <w:kern w:val="0"/>
          <w:sz w:val="32"/>
          <w:szCs w:val="32"/>
          <w:highlight w:val="none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</w:rPr>
        <w:t>包括但不限于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eastAsia="zh-CN"/>
        </w:rPr>
        <w:t>资产管理公司下发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eastAsia="zh-CN"/>
        </w:rPr>
        <w:t>工作、公司年度确定的工作和公司三定方案规定的职能工作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</w:rPr>
        <w:t>等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eastAsia="zh-CN"/>
        </w:rPr>
        <w:t>。（附件一）</w:t>
      </w:r>
    </w:p>
    <w:p w14:paraId="49DAC43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综合服务部：经营指标（</w:t>
      </w:r>
      <w:r>
        <w:rPr>
          <w:rFonts w:hint="eastAsia" w:ascii="仿宋_GB2312" w:hAnsi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0分）、重点工作（</w:t>
      </w:r>
      <w:r>
        <w:rPr>
          <w:rFonts w:hint="eastAsia" w:ascii="仿宋_GB2312" w:hAnsi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0分）</w:t>
      </w:r>
    </w:p>
    <w:p w14:paraId="72ED1AC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工程技术部：经营指标（60分）、重点工作（40分）</w:t>
      </w:r>
    </w:p>
    <w:p w14:paraId="309C90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招商运营部：经营指标（</w:t>
      </w:r>
      <w:r>
        <w:rPr>
          <w:rFonts w:hint="eastAsia" w:ascii="仿宋_GB2312" w:hAnsi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0分）、重点工作（</w:t>
      </w:r>
      <w:r>
        <w:rPr>
          <w:rFonts w:hint="eastAsia" w:ascii="仿宋_GB2312" w:hAnsi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0分）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1904"/>
        <w:gridCol w:w="2564"/>
        <w:gridCol w:w="2429"/>
      </w:tblGrid>
      <w:tr w14:paraId="4549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pct"/>
            <w:vMerge w:val="restart"/>
            <w:vAlign w:val="center"/>
          </w:tcPr>
          <w:p w14:paraId="58A5F4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部门</w:t>
            </w:r>
          </w:p>
        </w:tc>
        <w:tc>
          <w:tcPr>
            <w:tcW w:w="4046" w:type="pct"/>
            <w:gridSpan w:val="3"/>
            <w:vAlign w:val="center"/>
          </w:tcPr>
          <w:p w14:paraId="6595DE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经营指标分配比例</w:t>
            </w:r>
          </w:p>
        </w:tc>
      </w:tr>
      <w:tr w14:paraId="5EBF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pct"/>
            <w:vMerge w:val="continue"/>
            <w:vAlign w:val="center"/>
          </w:tcPr>
          <w:p w14:paraId="6A8BA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117" w:type="pct"/>
            <w:vAlign w:val="center"/>
          </w:tcPr>
          <w:p w14:paraId="2D24B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租金收入</w:t>
            </w:r>
          </w:p>
        </w:tc>
        <w:tc>
          <w:tcPr>
            <w:tcW w:w="1504" w:type="pct"/>
            <w:vAlign w:val="center"/>
          </w:tcPr>
          <w:p w14:paraId="1C53AA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廉易超市收入</w:t>
            </w:r>
          </w:p>
        </w:tc>
        <w:tc>
          <w:tcPr>
            <w:tcW w:w="1425" w:type="pct"/>
            <w:vAlign w:val="center"/>
          </w:tcPr>
          <w:p w14:paraId="38DD0F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廉易商城交易额</w:t>
            </w:r>
          </w:p>
        </w:tc>
      </w:tr>
      <w:tr w14:paraId="5E52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pct"/>
            <w:vAlign w:val="center"/>
          </w:tcPr>
          <w:p w14:paraId="48AF3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综合服务部</w:t>
            </w:r>
          </w:p>
        </w:tc>
        <w:tc>
          <w:tcPr>
            <w:tcW w:w="1117" w:type="pct"/>
            <w:vAlign w:val="center"/>
          </w:tcPr>
          <w:p w14:paraId="72840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80%</w:t>
            </w:r>
          </w:p>
        </w:tc>
        <w:tc>
          <w:tcPr>
            <w:tcW w:w="1504" w:type="pct"/>
            <w:vAlign w:val="center"/>
          </w:tcPr>
          <w:p w14:paraId="692DF9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1425" w:type="pct"/>
            <w:vAlign w:val="center"/>
          </w:tcPr>
          <w:p w14:paraId="43B1FB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10%</w:t>
            </w:r>
          </w:p>
        </w:tc>
      </w:tr>
      <w:tr w14:paraId="23A1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pct"/>
            <w:vAlign w:val="center"/>
          </w:tcPr>
          <w:p w14:paraId="53A6BE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工程技术部</w:t>
            </w:r>
          </w:p>
        </w:tc>
        <w:tc>
          <w:tcPr>
            <w:tcW w:w="1117" w:type="pct"/>
            <w:vAlign w:val="center"/>
          </w:tcPr>
          <w:p w14:paraId="13F27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20%</w:t>
            </w:r>
          </w:p>
        </w:tc>
        <w:tc>
          <w:tcPr>
            <w:tcW w:w="1504" w:type="pct"/>
            <w:vAlign w:val="center"/>
          </w:tcPr>
          <w:p w14:paraId="57B3DE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1425" w:type="pct"/>
            <w:vAlign w:val="center"/>
          </w:tcPr>
          <w:p w14:paraId="08006B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40%</w:t>
            </w:r>
          </w:p>
        </w:tc>
      </w:tr>
      <w:tr w14:paraId="1BD7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pct"/>
            <w:vAlign w:val="center"/>
          </w:tcPr>
          <w:p w14:paraId="35CA2A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招商运营部</w:t>
            </w:r>
          </w:p>
        </w:tc>
        <w:tc>
          <w:tcPr>
            <w:tcW w:w="1117" w:type="pct"/>
            <w:vAlign w:val="center"/>
          </w:tcPr>
          <w:p w14:paraId="3C0C8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80%</w:t>
            </w:r>
          </w:p>
        </w:tc>
        <w:tc>
          <w:tcPr>
            <w:tcW w:w="1504" w:type="pct"/>
            <w:vAlign w:val="center"/>
          </w:tcPr>
          <w:p w14:paraId="747214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1425" w:type="pct"/>
            <w:vAlign w:val="center"/>
          </w:tcPr>
          <w:p w14:paraId="64B18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ind w:right="0" w:rightChars="0"/>
              <w:jc w:val="center"/>
              <w:rPr>
                <w:rFonts w:hint="default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  <w:t>10%</w:t>
            </w:r>
          </w:p>
        </w:tc>
      </w:tr>
    </w:tbl>
    <w:p w14:paraId="2487F8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2、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经营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指标完成比例高于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0%（不含）的，部门（员工）经营指标绩效考核分=</w:t>
      </w: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经营指标分值</w:t>
      </w:r>
      <w:r>
        <w:rPr>
          <w:rFonts w:hint="default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部门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经营指标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完成的比例。</w:t>
      </w:r>
    </w:p>
    <w:p w14:paraId="09FE17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经营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指标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完成比例低于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8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0%（含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）的，</w:t>
      </w: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部门（员工）经营指标绩效考核分=经营指标分值×80%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5ED9AFF5">
      <w:pPr>
        <w:pStyle w:val="21"/>
        <w:pageBreakBefore w:val="0"/>
        <w:wordWrap/>
        <w:overflowPunct/>
        <w:topLinePunct w:val="0"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rPr>
          <w:rFonts w:hint="eastAsia"/>
          <w:color w:val="auto"/>
          <w:lang w:val="en-US" w:eastAsia="zh-CN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、部门重点工作绩效考核分由领导班子打分确定，员工重点工作绩效考核分由所在部门负责人打分确定。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部门考核得分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即部门负责人的考核得分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2C83A13D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部门负责人绩效奖金=个人绩效奖金基数</w:t>
      </w:r>
      <w:r>
        <w:rPr>
          <w:rFonts w:hint="default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（部门经营指标绩效考核分+部门重点工作绩效考核分）/100</w:t>
      </w:r>
    </w:p>
    <w:p w14:paraId="2E7ACF9D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部门员工绩效奖金=个人绩效奖金基数</w:t>
      </w:r>
      <w:r>
        <w:rPr>
          <w:rFonts w:hint="default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×</w:t>
      </w:r>
      <w:r>
        <w:rPr>
          <w:rFonts w:hint="eastAsia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个人经营指标绩效考核分+个人重点工作绩效考核分）/100</w:t>
      </w:r>
    </w:p>
    <w:p w14:paraId="7B3AB48F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廉易超市工作人员奖金=奖金基数</w:t>
      </w:r>
      <w:r>
        <w:rPr>
          <w:rFonts w:hint="default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×</w:t>
      </w:r>
      <w:r>
        <w:rPr>
          <w:rFonts w:hint="eastAsia" w:ascii="Arial" w:hAnsi="Arial" w:eastAsia="仿宋_GB2312" w:cs="Arial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个人经营指标绩效考核分+个人重点工作绩效考核分）/100</w:t>
      </w:r>
    </w:p>
    <w:p w14:paraId="5246177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在完成公司年度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经营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指标的基础上，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各部门（含廉易商超工作人员）完成部门年度经营指标，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补发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基础考核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经营指标部分扣除的绩效。</w:t>
      </w:r>
    </w:p>
    <w:p w14:paraId="5CEB280E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（二）招商奖励</w:t>
      </w:r>
    </w:p>
    <w:p w14:paraId="6D09F717">
      <w:pPr>
        <w:pStyle w:val="2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招商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奖励金根据签约的《房屋租赁合同》首年日租金（优惠前）标准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相应客户类型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及奖励天数进行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发放。</w:t>
      </w:r>
    </w:p>
    <w:p w14:paraId="428A3D2B">
      <w:pPr>
        <w:pStyle w:val="27"/>
        <w:pageBreakBefore w:val="0"/>
        <w:wordWrap/>
        <w:overflowPunct/>
        <w:topLinePunct w:val="0"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2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、招商奖励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金发放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前提条件：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  <w:t>承租单位</w:t>
      </w:r>
      <w:r>
        <w:rPr>
          <w:rFonts w:hint="eastAsia" w:cs="仿宋"/>
          <w:color w:val="auto"/>
          <w:kern w:val="2"/>
          <w:sz w:val="32"/>
          <w:szCs w:val="32"/>
          <w:lang w:val="en-US" w:eastAsia="zh-CN" w:bidi="ar-SA"/>
        </w:rPr>
        <w:t>为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  <w:t>非集团及集团系统内单位</w:t>
      </w:r>
      <w:r>
        <w:rPr>
          <w:rFonts w:hint="eastAsia" w:cs="仿宋"/>
          <w:color w:val="auto"/>
          <w:kern w:val="2"/>
          <w:sz w:val="32"/>
          <w:szCs w:val="32"/>
          <w:lang w:val="en-US" w:eastAsia="zh-CN" w:bidi="ar-SA"/>
        </w:rPr>
        <w:t>，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  <w:t>签订并生效的《房屋租赁合同》租赁期限大于1年（含）</w:t>
      </w:r>
      <w:r>
        <w:rPr>
          <w:rFonts w:hint="eastAsia" w:cs="仿宋"/>
          <w:color w:val="auto"/>
          <w:kern w:val="2"/>
          <w:sz w:val="32"/>
          <w:szCs w:val="32"/>
          <w:lang w:val="en-US" w:eastAsia="zh-CN" w:bidi="ar-SA"/>
        </w:rPr>
        <w:t>且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  <w:t>合同履约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bidi="ar-SA"/>
        </w:rPr>
        <w:t>保证金</w:t>
      </w:r>
      <w:r>
        <w:rPr>
          <w:rFonts w:hint="eastAsia" w:ascii="Times New Roman" w:hAnsi="Times New Roman" w:eastAsia="仿宋_GB2312" w:cs="仿宋"/>
          <w:color w:val="auto"/>
          <w:kern w:val="2"/>
          <w:sz w:val="32"/>
          <w:szCs w:val="32"/>
          <w:lang w:val="en-US" w:eastAsia="zh-CN" w:bidi="ar-SA"/>
        </w:rPr>
        <w:t>及首期租金到账。</w:t>
      </w:r>
    </w:p>
    <w:p w14:paraId="1EE7599F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3、招商奖励金标准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（附件二）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结合市场行情及园区招商情况，每年由总经理办公会讨论确定当年奖励天数及分配比例。</w:t>
      </w:r>
    </w:p>
    <w:p w14:paraId="0A59DED4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4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、招商奖励金的75%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根据招商奖励金标准按季度全额发放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，剩余25%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根据《招商专项评分表》内容的考核结果，经总经理办公会研究讨论后确定发放额度及标准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3DF22839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5、《招商专项评分表》（附件三）每年由总经理办公会讨论确定。</w:t>
      </w:r>
    </w:p>
    <w:p w14:paraId="673619C9">
      <w:pPr>
        <w:pStyle w:val="2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6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推荐人为公司考核对象范围内的非招商运营部人员，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推荐人奖励</w:t>
      </w:r>
      <w:r>
        <w:rPr>
          <w:rFonts w:hint="eastAsia" w:ascii="仿宋_GB2312" w:hAnsi="仿宋_GB2312" w:cs="仿宋_GB2312"/>
          <w:color w:val="auto"/>
          <w:kern w:val="2"/>
          <w:sz w:val="32"/>
          <w:szCs w:val="32"/>
          <w:lang w:val="en-US" w:eastAsia="zh-CN" w:bidi="ar-SA"/>
        </w:rPr>
        <w:t>金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一次性全额发放。</w:t>
      </w:r>
    </w:p>
    <w:p w14:paraId="04430E28">
      <w:pPr>
        <w:pageBreakBefore w:val="0"/>
        <w:wordWrap/>
        <w:overflowPunct/>
        <w:topLinePunct w:val="0"/>
        <w:bidi w:val="0"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color w:val="auto"/>
        </w:rPr>
      </w:pP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《房屋租赁合同》首年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因退租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或其他原因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导致租赁合同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提前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中止（终止）的，自中止（终止）之日起不再计算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发放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招商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奖励金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</w:p>
    <w:p w14:paraId="38764C9C"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黑体" w:hAnsi="黑体" w:eastAsia="黑体" w:cs="黑体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  <w:highlight w:val="none"/>
          <w:lang w:val="en-US" w:eastAsia="zh-CN"/>
        </w:rPr>
        <w:t>六、相关说明</w:t>
      </w:r>
    </w:p>
    <w:p w14:paraId="3647D0EB"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（一）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新增或外拓园区运营的考核方案另定。</w:t>
      </w:r>
    </w:p>
    <w:p w14:paraId="68B7A81A">
      <w:pPr>
        <w:keepNext w:val="0"/>
        <w:keepLines w:val="0"/>
        <w:pageBreakBefore w:val="0"/>
        <w:widowControl w:val="0"/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（二）特殊因素。</w:t>
      </w:r>
      <w:r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  <w:t>因不可抗力因素、疫情影响、国家政策变化、市场形势发生重大变化等特殊因素影响年度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</w:rPr>
        <w:t>经营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  <w:lang w:val="en-US" w:eastAsia="zh-CN"/>
        </w:rPr>
        <w:t>指标</w:t>
      </w:r>
      <w:r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  <w:t>完成的，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  <w:lang w:eastAsia="zh-CN"/>
        </w:rPr>
        <w:t>报资产管理公司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  <w:lang w:val="en-US" w:eastAsia="zh-CN"/>
        </w:rPr>
        <w:t>审核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  <w:lang w:eastAsia="zh-CN"/>
        </w:rPr>
        <w:t>通过，</w:t>
      </w:r>
      <w:r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  <w:t>可调整年度</w:t>
      </w:r>
      <w:r>
        <w:rPr>
          <w:rFonts w:hint="eastAsia" w:ascii="仿宋_GB2312" w:hAnsi="仿宋"/>
          <w:color w:val="auto"/>
          <w:kern w:val="0"/>
          <w:sz w:val="32"/>
          <w:szCs w:val="32"/>
          <w:highlight w:val="none"/>
          <w:lang w:eastAsia="zh-CN"/>
        </w:rPr>
        <w:t>经营</w:t>
      </w:r>
      <w:r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  <w:t>考核</w:t>
      </w:r>
      <w:r>
        <w:rPr>
          <w:rFonts w:hint="eastAsia" w:ascii="仿宋_GB2312" w:hAnsi="仿宋" w:eastAsia="仿宋_GB2312"/>
          <w:color w:val="auto"/>
          <w:kern w:val="0"/>
          <w:sz w:val="32"/>
          <w:szCs w:val="32"/>
          <w:highlight w:val="none"/>
          <w:lang w:val="en-US" w:eastAsia="zh-CN"/>
        </w:rPr>
        <w:t>指标</w:t>
      </w:r>
      <w:r>
        <w:rPr>
          <w:rFonts w:ascii="仿宋_GB2312" w:hAnsi="仿宋" w:eastAsia="仿宋_GB2312"/>
          <w:color w:val="auto"/>
          <w:kern w:val="0"/>
          <w:sz w:val="32"/>
          <w:szCs w:val="32"/>
          <w:highlight w:val="none"/>
        </w:rPr>
        <w:t>。</w:t>
      </w:r>
    </w:p>
    <w:p w14:paraId="072E949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9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（三）当年系统内调动的员工和当年进入公司的员工，按实际调动和到岗月份折算绩效，挂职人员绩效由公司确定。</w:t>
      </w:r>
    </w:p>
    <w:p w14:paraId="5BB14718">
      <w:pPr>
        <w:pStyle w:val="27"/>
        <w:pageBreakBefore w:val="0"/>
        <w:wordWrap/>
        <w:overflowPunct/>
        <w:topLinePunct w:val="0"/>
        <w:bidi w:val="0"/>
        <w:snapToGrid w:val="0"/>
        <w:spacing w:beforeAutospacing="0" w:afterAutospacing="0" w:line="560" w:lineRule="exact"/>
        <w:ind w:left="0" w:leftChars="0" w:right="0" w:rightChars="0" w:firstLine="48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（四）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本办法在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bidi="ar"/>
        </w:rPr>
        <w:t>廉政、安全生产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方面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bidi="ar"/>
        </w:rPr>
        <w:t>实行“一票否决”制。如员工发生重大违纪导致严重后果或因违法被追究刑事责任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eastAsia="zh-CN" w:bidi="ar"/>
        </w:rPr>
        <w:t>或在项目进行过程中使用不正当手段对公司造成经济、名誉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等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eastAsia="zh-CN" w:bidi="ar"/>
        </w:rPr>
        <w:t>影响的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bidi="ar"/>
        </w:rPr>
        <w:t>，该员工当年绩效考核记零分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eastAsia="zh-CN" w:bidi="ar"/>
        </w:rPr>
        <w:t>且不享受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预留的25%的招商奖励</w:t>
      </w:r>
      <w:r>
        <w:rPr>
          <w:rFonts w:hint="eastAsia" w:ascii="仿宋_GB2312" w:hAnsi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分配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bCs/>
          <w:color w:val="auto"/>
          <w:kern w:val="32"/>
          <w:sz w:val="32"/>
          <w:szCs w:val="32"/>
          <w:highlight w:val="none"/>
          <w:lang w:eastAsia="zh-CN" w:bidi="ar"/>
        </w:rPr>
        <w:t>所在部门酌情扣分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。</w:t>
      </w:r>
    </w:p>
    <w:p w14:paraId="12012C4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560" w:lineRule="exact"/>
        <w:ind w:left="0" w:leftChars="0" w:right="0" w:rightChars="0" w:firstLine="640" w:firstLineChars="200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七、其他</w:t>
      </w:r>
    </w:p>
    <w:p w14:paraId="3CE58E7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Autospacing="0" w:after="0" w:afterAutospacing="0" w:line="560" w:lineRule="exact"/>
        <w:ind w:left="0" w:leftChars="0" w:right="0" w:righ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本方案经杭州交通资产管理有限公司党委会研究通过，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自202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1日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起执行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具体由公司</w:t>
      </w:r>
      <w:r>
        <w:rPr>
          <w:rFonts w:hint="eastAsia" w:ascii="仿宋_GB2312" w:hAnsi="仿宋_GB2312" w:cs="仿宋_GB2312"/>
          <w:color w:val="auto"/>
          <w:sz w:val="32"/>
          <w:szCs w:val="32"/>
          <w:lang w:val="en-US" w:eastAsia="zh-CN"/>
        </w:rPr>
        <w:t>综合服务部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负责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解释。</w:t>
      </w:r>
    </w:p>
    <w:p w14:paraId="3AF4F753">
      <w:pPr>
        <w:ind w:left="0" w:leftChars="0" w:firstLine="0" w:firstLineChars="0"/>
        <w:jc w:val="both"/>
        <w:rPr>
          <w:rFonts w:hint="eastAsia" w:ascii="黑体" w:hAnsi="黑体" w:eastAsia="黑体" w:cs="黑体"/>
          <w:spacing w:val="-4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spacing w:val="-4"/>
          <w:sz w:val="32"/>
          <w:szCs w:val="32"/>
          <w:u w:val="none"/>
          <w:lang w:val="en-US" w:eastAsia="zh-CN"/>
        </w:rPr>
        <w:t>附件一</w:t>
      </w:r>
    </w:p>
    <w:p w14:paraId="0B0DA4E4">
      <w:pPr>
        <w:ind w:left="0" w:leftChars="0" w:firstLine="0" w:firstLineChars="0"/>
        <w:jc w:val="center"/>
        <w:rPr>
          <w:rFonts w:hint="default" w:ascii="小标宋" w:hAnsi="小标宋" w:eastAsia="小标宋" w:cs="小标宋"/>
          <w:spacing w:val="-4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pacing w:val="-4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小标宋" w:hAnsi="小标宋" w:eastAsia="小标宋" w:cs="小标宋"/>
          <w:spacing w:val="-4"/>
          <w:sz w:val="44"/>
          <w:szCs w:val="44"/>
          <w:u w:val="none"/>
          <w:lang w:val="en-US" w:eastAsia="zh-CN"/>
        </w:rPr>
        <w:t>部门</w:t>
      </w:r>
      <w:r>
        <w:rPr>
          <w:rFonts w:hint="eastAsia" w:ascii="小标宋" w:hAnsi="小标宋" w:eastAsia="小标宋" w:cs="小标宋"/>
          <w:spacing w:val="-4"/>
          <w:sz w:val="44"/>
          <w:szCs w:val="44"/>
          <w:u w:val="single"/>
          <w:lang w:val="en-US" w:eastAsia="zh-CN"/>
        </w:rPr>
        <w:t xml:space="preserve">    </w:t>
      </w:r>
      <w:r>
        <w:rPr>
          <w:rFonts w:hint="eastAsia" w:ascii="小标宋" w:hAnsi="小标宋" w:eastAsia="小标宋" w:cs="小标宋"/>
          <w:spacing w:val="-4"/>
          <w:sz w:val="44"/>
          <w:szCs w:val="44"/>
          <w:u w:val="none"/>
          <w:lang w:val="en-US" w:eastAsia="zh-CN"/>
        </w:rPr>
        <w:t>季</w:t>
      </w:r>
      <w:r>
        <w:rPr>
          <w:rFonts w:hint="eastAsia" w:ascii="小标宋" w:hAnsi="小标宋" w:eastAsia="小标宋" w:cs="小标宋"/>
          <w:spacing w:val="-4"/>
          <w:sz w:val="44"/>
          <w:szCs w:val="44"/>
          <w:lang w:val="en-US" w:eastAsia="zh-CN"/>
        </w:rPr>
        <w:t>度/年度重点工作及经营指标</w:t>
      </w:r>
    </w:p>
    <w:tbl>
      <w:tblPr>
        <w:tblStyle w:val="17"/>
        <w:tblW w:w="123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3533"/>
        <w:gridCol w:w="3750"/>
        <w:gridCol w:w="1290"/>
        <w:gridCol w:w="1500"/>
        <w:gridCol w:w="720"/>
        <w:gridCol w:w="792"/>
      </w:tblGrid>
      <w:tr w14:paraId="6F05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717" w:type="dxa"/>
            <w:noWrap w:val="0"/>
            <w:vAlign w:val="center"/>
          </w:tcPr>
          <w:p w14:paraId="1963AAC5">
            <w:pPr>
              <w:pStyle w:val="7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3533" w:type="dxa"/>
            <w:noWrap w:val="0"/>
            <w:vAlign w:val="center"/>
          </w:tcPr>
          <w:p w14:paraId="1CC15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工作内容及要求</w:t>
            </w:r>
          </w:p>
        </w:tc>
        <w:tc>
          <w:tcPr>
            <w:tcW w:w="3750" w:type="dxa"/>
            <w:noWrap w:val="0"/>
            <w:vAlign w:val="center"/>
          </w:tcPr>
          <w:p w14:paraId="49A9E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完成情况描述</w:t>
            </w:r>
          </w:p>
        </w:tc>
        <w:tc>
          <w:tcPr>
            <w:tcW w:w="1290" w:type="dxa"/>
            <w:noWrap w:val="0"/>
            <w:vAlign w:val="center"/>
          </w:tcPr>
          <w:p w14:paraId="41F8F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时间期限 </w:t>
            </w:r>
          </w:p>
        </w:tc>
        <w:tc>
          <w:tcPr>
            <w:tcW w:w="1500" w:type="dxa"/>
            <w:noWrap w:val="0"/>
            <w:vAlign w:val="center"/>
          </w:tcPr>
          <w:p w14:paraId="24CA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未完成说明</w:t>
            </w:r>
          </w:p>
        </w:tc>
        <w:tc>
          <w:tcPr>
            <w:tcW w:w="720" w:type="dxa"/>
            <w:noWrap w:val="0"/>
            <w:vAlign w:val="center"/>
          </w:tcPr>
          <w:p w14:paraId="08B15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分值</w:t>
            </w:r>
          </w:p>
        </w:tc>
        <w:tc>
          <w:tcPr>
            <w:tcW w:w="792" w:type="dxa"/>
            <w:noWrap w:val="0"/>
            <w:vAlign w:val="center"/>
          </w:tcPr>
          <w:p w14:paraId="17D59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评分</w:t>
            </w:r>
          </w:p>
        </w:tc>
      </w:tr>
      <w:tr w14:paraId="164C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restart"/>
            <w:noWrap w:val="0"/>
            <w:vAlign w:val="center"/>
          </w:tcPr>
          <w:p w14:paraId="1B5DD6D6">
            <w:pPr>
              <w:pStyle w:val="7"/>
              <w:jc w:val="center"/>
              <w:rPr>
                <w:rFonts w:hint="default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经营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指标</w:t>
            </w:r>
          </w:p>
        </w:tc>
        <w:tc>
          <w:tcPr>
            <w:tcW w:w="3533" w:type="dxa"/>
            <w:noWrap w:val="0"/>
            <w:vAlign w:val="top"/>
          </w:tcPr>
          <w:p w14:paraId="4F0EE3C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39ECC87C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73E5C349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0009ACD8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506F24B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2181004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551B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center"/>
          </w:tcPr>
          <w:p w14:paraId="4D841BC1">
            <w:pPr>
              <w:pStyle w:val="7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533" w:type="dxa"/>
            <w:noWrap w:val="0"/>
            <w:vAlign w:val="top"/>
          </w:tcPr>
          <w:p w14:paraId="7212CCB5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2BB73152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77EAB002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2075A4B2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3CD8805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55FABF5B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7867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center"/>
          </w:tcPr>
          <w:p w14:paraId="74412AB1">
            <w:pPr>
              <w:pStyle w:val="7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533" w:type="dxa"/>
            <w:noWrap w:val="0"/>
            <w:vAlign w:val="top"/>
          </w:tcPr>
          <w:p w14:paraId="66D1091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42D503B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26D102A7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4BB27ECA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09CB597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4D6E09CB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6C2C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center"/>
          </w:tcPr>
          <w:p w14:paraId="0DA8AF44">
            <w:pPr>
              <w:pStyle w:val="7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533" w:type="dxa"/>
            <w:noWrap w:val="0"/>
            <w:vAlign w:val="top"/>
          </w:tcPr>
          <w:p w14:paraId="74026D95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28468056">
            <w:pPr>
              <w:pStyle w:val="7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537CB20E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5641DEB3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26EADBA9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2CF74B49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36C8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restart"/>
            <w:noWrap w:val="0"/>
            <w:vAlign w:val="center"/>
          </w:tcPr>
          <w:p w14:paraId="254AF6DF">
            <w:pPr>
              <w:pStyle w:val="7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  <w:t>重点工作指标</w:t>
            </w:r>
          </w:p>
        </w:tc>
        <w:tc>
          <w:tcPr>
            <w:tcW w:w="3533" w:type="dxa"/>
            <w:noWrap w:val="0"/>
            <w:vAlign w:val="top"/>
          </w:tcPr>
          <w:p w14:paraId="0449D5A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189DD57E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286F8799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4A11B227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3F9513E5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386C141D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2610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top"/>
          </w:tcPr>
          <w:p w14:paraId="5185993D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533" w:type="dxa"/>
            <w:noWrap w:val="0"/>
            <w:vAlign w:val="top"/>
          </w:tcPr>
          <w:p w14:paraId="3463C7DB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35E7BE04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0BFB48D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28A906A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22DF3167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1BF9251A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1CC2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top"/>
          </w:tcPr>
          <w:p w14:paraId="6C32CDEB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533" w:type="dxa"/>
            <w:noWrap w:val="0"/>
            <w:vAlign w:val="top"/>
          </w:tcPr>
          <w:p w14:paraId="1E5604D2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6060AFFC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3B42F391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19E82C54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2DE7E02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41012D24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0C48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top"/>
          </w:tcPr>
          <w:p w14:paraId="3B0B445A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533" w:type="dxa"/>
            <w:noWrap w:val="0"/>
            <w:vAlign w:val="top"/>
          </w:tcPr>
          <w:p w14:paraId="5B392412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43297A0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592FDD7D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442A49CB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04B36B7F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66A3777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 w14:paraId="74BD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  <w:vMerge w:val="continue"/>
            <w:noWrap w:val="0"/>
            <w:vAlign w:val="top"/>
          </w:tcPr>
          <w:p w14:paraId="3B81622A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533" w:type="dxa"/>
            <w:noWrap w:val="0"/>
            <w:vAlign w:val="top"/>
          </w:tcPr>
          <w:p w14:paraId="1660ABF7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3750" w:type="dxa"/>
            <w:noWrap w:val="0"/>
            <w:vAlign w:val="top"/>
          </w:tcPr>
          <w:p w14:paraId="4686EF8C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290" w:type="dxa"/>
            <w:noWrap w:val="0"/>
            <w:vAlign w:val="top"/>
          </w:tcPr>
          <w:p w14:paraId="57D4809D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1500" w:type="dxa"/>
            <w:noWrap w:val="0"/>
            <w:vAlign w:val="top"/>
          </w:tcPr>
          <w:p w14:paraId="2996BC10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20" w:type="dxa"/>
            <w:noWrap w:val="0"/>
            <w:vAlign w:val="top"/>
          </w:tcPr>
          <w:p w14:paraId="03C7F659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  <w:tc>
          <w:tcPr>
            <w:tcW w:w="792" w:type="dxa"/>
            <w:noWrap w:val="0"/>
            <w:vAlign w:val="top"/>
          </w:tcPr>
          <w:p w14:paraId="09CC20F6">
            <w:pPr>
              <w:pStyle w:val="7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</w:tbl>
    <w:p w14:paraId="73CE882F">
      <w:pPr>
        <w:spacing w:line="360" w:lineRule="auto"/>
        <w:rPr>
          <w:rFonts w:hint="eastAsia" w:ascii="宋体" w:hAnsi="宋体"/>
          <w:kern w:val="0"/>
          <w:sz w:val="32"/>
          <w:szCs w:val="32"/>
          <w:lang w:val="en-US" w:eastAsia="zh-CN"/>
        </w:rPr>
      </w:pPr>
    </w:p>
    <w:p w14:paraId="360464B0">
      <w:pPr>
        <w:spacing w:line="360" w:lineRule="auto"/>
        <w:rPr>
          <w:rFonts w:hint="eastAsia" w:ascii="宋体" w:hAnsi="宋体"/>
          <w:kern w:val="0"/>
          <w:sz w:val="32"/>
          <w:szCs w:val="32"/>
          <w:lang w:val="en-US" w:eastAsia="zh-CN"/>
        </w:rPr>
      </w:pPr>
    </w:p>
    <w:p w14:paraId="0744DB30">
      <w:pPr>
        <w:rPr>
          <w:rFonts w:hint="eastAsia" w:ascii="宋体" w:hAnsi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/>
          <w:kern w:val="0"/>
          <w:sz w:val="32"/>
          <w:szCs w:val="32"/>
          <w:lang w:val="en-US" w:eastAsia="zh-CN"/>
        </w:rPr>
        <w:br w:type="page"/>
      </w:r>
    </w:p>
    <w:p w14:paraId="6762B42E">
      <w:pPr>
        <w:spacing w:line="360" w:lineRule="auto"/>
        <w:rPr>
          <w:rFonts w:hint="eastAsia" w:ascii="宋体" w:hAnsi="宋体"/>
          <w:kern w:val="0"/>
          <w:sz w:val="32"/>
          <w:szCs w:val="32"/>
          <w:lang w:val="en-US" w:eastAsia="zh-CN"/>
        </w:rPr>
        <w:sectPr>
          <w:headerReference r:id="rId5" w:type="default"/>
          <w:footerReference r:id="rId6" w:type="default"/>
          <w:pgSz w:w="16838" w:h="11906" w:orient="landscape"/>
          <w:pgMar w:top="1803" w:right="1440" w:bottom="1803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36" w:charSpace="0"/>
        </w:sectPr>
      </w:pPr>
    </w:p>
    <w:p w14:paraId="793C1932">
      <w:pPr>
        <w:rPr>
          <w:rFonts w:hint="default" w:ascii="黑体" w:hAnsi="黑体" w:eastAsia="黑体" w:cs="黑体"/>
          <w:spacing w:val="-4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  <w:t>附件二</w:t>
      </w:r>
    </w:p>
    <w:p w14:paraId="207CC0F9">
      <w:pPr>
        <w:jc w:val="center"/>
        <w:rPr>
          <w:rFonts w:hint="default" w:ascii="小标宋" w:hAnsi="小标宋" w:eastAsia="小标宋" w:cs="小标宋"/>
          <w:kern w:val="2"/>
          <w:sz w:val="44"/>
          <w:szCs w:val="44"/>
          <w:lang w:val="en-US" w:eastAsia="zh-CN" w:bidi="ar-SA"/>
        </w:rPr>
      </w:pPr>
      <w:r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  <w:t>招商奖励金标准</w:t>
      </w:r>
    </w:p>
    <w:p w14:paraId="599FA9D6">
      <w:pPr>
        <w:spacing w:line="360" w:lineRule="auto"/>
        <w:rPr>
          <w:rFonts w:hint="eastAsia" w:ascii="宋体" w:hAnsi="宋体"/>
          <w:kern w:val="0"/>
          <w:sz w:val="32"/>
          <w:szCs w:val="32"/>
        </w:rPr>
      </w:pPr>
    </w:p>
    <w:tbl>
      <w:tblPr>
        <w:tblStyle w:val="18"/>
        <w:tblW w:w="0" w:type="auto"/>
        <w:tblInd w:w="1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725"/>
        <w:gridCol w:w="1265"/>
        <w:gridCol w:w="3083"/>
      </w:tblGrid>
      <w:tr w14:paraId="1AB6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187" w:type="dxa"/>
            <w:noWrap w:val="0"/>
            <w:vAlign w:val="center"/>
          </w:tcPr>
          <w:p w14:paraId="1CEB6E13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自拓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725" w:type="dxa"/>
            <w:noWrap w:val="0"/>
            <w:vAlign w:val="center"/>
          </w:tcPr>
          <w:p w14:paraId="33BA3867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客户说明</w:t>
            </w:r>
          </w:p>
        </w:tc>
        <w:tc>
          <w:tcPr>
            <w:tcW w:w="1265" w:type="dxa"/>
            <w:noWrap w:val="0"/>
            <w:vAlign w:val="center"/>
          </w:tcPr>
          <w:p w14:paraId="38C560A4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奖励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天数</w:t>
            </w:r>
          </w:p>
        </w:tc>
        <w:tc>
          <w:tcPr>
            <w:tcW w:w="3083" w:type="dxa"/>
            <w:noWrap w:val="0"/>
            <w:vAlign w:val="center"/>
          </w:tcPr>
          <w:p w14:paraId="65B098A0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招商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奖励金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分配方案</w:t>
            </w:r>
          </w:p>
        </w:tc>
      </w:tr>
      <w:tr w14:paraId="5626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187" w:type="dxa"/>
            <w:vMerge w:val="restart"/>
            <w:noWrap w:val="0"/>
            <w:vAlign w:val="center"/>
          </w:tcPr>
          <w:p w14:paraId="32F7A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直接客户</w:t>
            </w:r>
          </w:p>
        </w:tc>
        <w:tc>
          <w:tcPr>
            <w:tcW w:w="2725" w:type="dxa"/>
            <w:vMerge w:val="restart"/>
            <w:noWrap w:val="0"/>
            <w:vAlign w:val="center"/>
          </w:tcPr>
          <w:p w14:paraId="6CD1C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自然来访和招商团队自行拓展的客户。</w:t>
            </w:r>
          </w:p>
        </w:tc>
        <w:tc>
          <w:tcPr>
            <w:tcW w:w="1265" w:type="dxa"/>
            <w:vMerge w:val="restart"/>
            <w:noWrap w:val="0"/>
            <w:vAlign w:val="center"/>
          </w:tcPr>
          <w:p w14:paraId="6817E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5B075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有推荐人的：</w:t>
            </w:r>
          </w:p>
          <w:p w14:paraId="11279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一、推荐人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7AD88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2BC92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0EE45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四、工程技术部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2593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1187" w:type="dxa"/>
            <w:vMerge w:val="continue"/>
            <w:noWrap w:val="0"/>
            <w:vAlign w:val="center"/>
          </w:tcPr>
          <w:p w14:paraId="438CE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725" w:type="dxa"/>
            <w:vMerge w:val="continue"/>
            <w:noWrap w:val="0"/>
            <w:vAlign w:val="center"/>
          </w:tcPr>
          <w:p w14:paraId="22377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65" w:type="dxa"/>
            <w:vMerge w:val="continue"/>
            <w:noWrap w:val="0"/>
            <w:vAlign w:val="center"/>
          </w:tcPr>
          <w:p w14:paraId="26955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083" w:type="dxa"/>
            <w:noWrap w:val="0"/>
            <w:vAlign w:val="center"/>
          </w:tcPr>
          <w:p w14:paraId="243D4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无推荐人：</w:t>
            </w:r>
          </w:p>
          <w:p w14:paraId="57078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1719C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22346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10EC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187" w:type="dxa"/>
            <w:noWrap w:val="0"/>
            <w:vAlign w:val="center"/>
          </w:tcPr>
          <w:p w14:paraId="317BA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渠道客户</w:t>
            </w:r>
          </w:p>
        </w:tc>
        <w:tc>
          <w:tcPr>
            <w:tcW w:w="2725" w:type="dxa"/>
            <w:noWrap w:val="0"/>
            <w:vAlign w:val="center"/>
          </w:tcPr>
          <w:p w14:paraId="5C6B7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包括但不限于中介机构等需要支付佣金的相关机构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推荐的客户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265" w:type="dxa"/>
            <w:noWrap w:val="0"/>
            <w:vAlign w:val="center"/>
          </w:tcPr>
          <w:p w14:paraId="50358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天-渠道公司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佣金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天数</w:t>
            </w:r>
          </w:p>
        </w:tc>
        <w:tc>
          <w:tcPr>
            <w:tcW w:w="3083" w:type="dxa"/>
            <w:noWrap w:val="0"/>
            <w:vAlign w:val="center"/>
          </w:tcPr>
          <w:p w14:paraId="50E14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52EFD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65CD2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103F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1187" w:type="dxa"/>
            <w:noWrap w:val="0"/>
            <w:vAlign w:val="center"/>
          </w:tcPr>
          <w:p w14:paraId="17840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集团资源推荐客户</w:t>
            </w:r>
          </w:p>
        </w:tc>
        <w:tc>
          <w:tcPr>
            <w:tcW w:w="2725" w:type="dxa"/>
            <w:noWrap w:val="0"/>
            <w:vAlign w:val="center"/>
          </w:tcPr>
          <w:p w14:paraId="37FBA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集团系统内推荐的非集团系统内单位的客户。</w:t>
            </w:r>
          </w:p>
        </w:tc>
        <w:tc>
          <w:tcPr>
            <w:tcW w:w="1265" w:type="dxa"/>
            <w:noWrap w:val="0"/>
            <w:vAlign w:val="center"/>
          </w:tcPr>
          <w:p w14:paraId="6A9BB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7ED05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6213D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3B633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1041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1187" w:type="dxa"/>
            <w:noWrap w:val="0"/>
            <w:vAlign w:val="center"/>
          </w:tcPr>
          <w:p w14:paraId="73897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续租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客户</w:t>
            </w:r>
          </w:p>
        </w:tc>
        <w:tc>
          <w:tcPr>
            <w:tcW w:w="2725" w:type="dxa"/>
            <w:noWrap w:val="0"/>
            <w:vAlign w:val="center"/>
          </w:tcPr>
          <w:p w14:paraId="23820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新旧合同无时间间隔，租赁标的与原合同标的一致，若有扩租部分按直接客户计算。</w:t>
            </w:r>
          </w:p>
        </w:tc>
        <w:tc>
          <w:tcPr>
            <w:tcW w:w="1265" w:type="dxa"/>
            <w:noWrap w:val="0"/>
            <w:vAlign w:val="center"/>
          </w:tcPr>
          <w:p w14:paraId="43575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37E55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351FD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3B762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</w:tbl>
    <w:p w14:paraId="54FBA8D2">
      <w:pPr>
        <w:spacing w:line="360" w:lineRule="auto"/>
        <w:ind w:firstLine="640" w:firstLineChars="200"/>
        <w:rPr>
          <w:rFonts w:hint="eastAsia" w:ascii="宋体" w:hAnsi="宋体"/>
          <w:kern w:val="0"/>
          <w:sz w:val="32"/>
          <w:szCs w:val="32"/>
        </w:rPr>
      </w:pPr>
    </w:p>
    <w:p w14:paraId="03D8FD7D"/>
    <w:p w14:paraId="167E9986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5D436561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62A66FFA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5A12635E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  <w:t>附件三</w:t>
      </w:r>
    </w:p>
    <w:p w14:paraId="3F6B2212">
      <w:pPr>
        <w:jc w:val="center"/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</w:pPr>
      <w:r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  <w:t>招商专项评分表</w:t>
      </w:r>
    </w:p>
    <w:p w14:paraId="7DC0BF39">
      <w:pPr>
        <w:spacing w:line="360" w:lineRule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tbl>
      <w:tblPr>
        <w:tblStyle w:val="1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2779"/>
        <w:gridCol w:w="2786"/>
        <w:gridCol w:w="2097"/>
      </w:tblGrid>
      <w:tr w14:paraId="05189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C73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93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积分内容说明</w:t>
            </w: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CCA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积分标准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97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3E76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1E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1AB8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0F2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DC19C6">
            <w:pPr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7F56D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973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26A4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76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7AB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DDCF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822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E8D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50C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2CF4F1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1A7B4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19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DB0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B6A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0D8F81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0E05D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09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3F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999D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6F52F2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20F62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07C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CB5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E2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A4A6CF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4C22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732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F5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0B6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4890D6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3ED97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42A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4BF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09C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9A2E34D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1014A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FC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8DC3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A81794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F622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3E47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D7A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9C8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B6363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981A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26E08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48C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备注：区间分值由部门提出，经总经理办公会审核确定。</w:t>
            </w:r>
          </w:p>
        </w:tc>
      </w:tr>
    </w:tbl>
    <w:p w14:paraId="33FF54ED">
      <w:pPr>
        <w:rPr>
          <w:rFonts w:hint="default" w:ascii="黑体" w:hAnsi="黑体" w:eastAsia="黑体" w:cs="黑体"/>
          <w:spacing w:val="-4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rtlGutter w:val="0"/>
          <w:docGrid w:type="lines" w:linePitch="312" w:charSpace="0"/>
        </w:sectPr>
      </w:pPr>
    </w:p>
    <w:p w14:paraId="28E6EC28">
      <w:pPr>
        <w:jc w:val="center"/>
        <w:rPr>
          <w:rFonts w:hint="default" w:ascii="小标宋" w:hAnsi="小标宋" w:eastAsia="小标宋" w:cs="小标宋"/>
          <w:kern w:val="2"/>
          <w:sz w:val="44"/>
          <w:szCs w:val="44"/>
          <w:lang w:val="en-US" w:eastAsia="zh-CN" w:bidi="ar-SA"/>
        </w:rPr>
      </w:pPr>
      <w:r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  <w:t>2025年度招商奖励金标准</w:t>
      </w:r>
    </w:p>
    <w:p w14:paraId="105B53F5">
      <w:pPr>
        <w:spacing w:line="360" w:lineRule="auto"/>
        <w:rPr>
          <w:rFonts w:hint="eastAsia" w:ascii="宋体" w:hAnsi="宋体"/>
          <w:kern w:val="0"/>
          <w:sz w:val="32"/>
          <w:szCs w:val="32"/>
        </w:rPr>
      </w:pPr>
    </w:p>
    <w:tbl>
      <w:tblPr>
        <w:tblStyle w:val="18"/>
        <w:tblW w:w="0" w:type="auto"/>
        <w:tblInd w:w="1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2725"/>
        <w:gridCol w:w="1265"/>
        <w:gridCol w:w="3083"/>
      </w:tblGrid>
      <w:tr w14:paraId="47A2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187" w:type="dxa"/>
            <w:noWrap w:val="0"/>
            <w:vAlign w:val="center"/>
          </w:tcPr>
          <w:p w14:paraId="173DAA28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自拓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725" w:type="dxa"/>
            <w:noWrap w:val="0"/>
            <w:vAlign w:val="center"/>
          </w:tcPr>
          <w:p w14:paraId="1A391092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客户说明</w:t>
            </w:r>
          </w:p>
        </w:tc>
        <w:tc>
          <w:tcPr>
            <w:tcW w:w="1265" w:type="dxa"/>
            <w:noWrap w:val="0"/>
            <w:vAlign w:val="center"/>
          </w:tcPr>
          <w:p w14:paraId="49C1FC76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奖励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天数</w:t>
            </w:r>
          </w:p>
        </w:tc>
        <w:tc>
          <w:tcPr>
            <w:tcW w:w="3083" w:type="dxa"/>
            <w:noWrap w:val="0"/>
            <w:vAlign w:val="center"/>
          </w:tcPr>
          <w:p w14:paraId="28A2FA4B">
            <w:pPr>
              <w:pageBreakBefore w:val="0"/>
              <w:wordWrap/>
              <w:overflowPunct/>
              <w:topLinePunct w:val="0"/>
              <w:bidi w:val="0"/>
              <w:spacing w:beforeAutospacing="0" w:afterAutospacing="0" w:line="560" w:lineRule="exact"/>
              <w:ind w:left="0" w:leftChars="0" w:right="0" w:rightChars="0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招商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奖励金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分配方案</w:t>
            </w:r>
          </w:p>
        </w:tc>
      </w:tr>
      <w:tr w14:paraId="3186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187" w:type="dxa"/>
            <w:vMerge w:val="restart"/>
            <w:noWrap w:val="0"/>
            <w:vAlign w:val="center"/>
          </w:tcPr>
          <w:p w14:paraId="71F79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直接客户</w:t>
            </w:r>
          </w:p>
        </w:tc>
        <w:tc>
          <w:tcPr>
            <w:tcW w:w="2725" w:type="dxa"/>
            <w:vMerge w:val="restart"/>
            <w:noWrap w:val="0"/>
            <w:vAlign w:val="center"/>
          </w:tcPr>
          <w:p w14:paraId="64B49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自然来访和招商团队自行拓展的客户。</w:t>
            </w:r>
          </w:p>
        </w:tc>
        <w:tc>
          <w:tcPr>
            <w:tcW w:w="1265" w:type="dxa"/>
            <w:vMerge w:val="restart"/>
            <w:noWrap w:val="0"/>
            <w:vAlign w:val="center"/>
          </w:tcPr>
          <w:p w14:paraId="27191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44C2C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有推荐人的：</w:t>
            </w:r>
          </w:p>
          <w:p w14:paraId="670B0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一、推荐人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473A8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17F3A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368BB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四、工程技术部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5948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1187" w:type="dxa"/>
            <w:vMerge w:val="continue"/>
            <w:noWrap w:val="0"/>
            <w:vAlign w:val="center"/>
          </w:tcPr>
          <w:p w14:paraId="1B411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725" w:type="dxa"/>
            <w:vMerge w:val="continue"/>
            <w:noWrap w:val="0"/>
            <w:vAlign w:val="center"/>
          </w:tcPr>
          <w:p w14:paraId="7A787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65" w:type="dxa"/>
            <w:vMerge w:val="continue"/>
            <w:noWrap w:val="0"/>
            <w:vAlign w:val="center"/>
          </w:tcPr>
          <w:p w14:paraId="7FFF4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083" w:type="dxa"/>
            <w:noWrap w:val="0"/>
            <w:vAlign w:val="center"/>
          </w:tcPr>
          <w:p w14:paraId="6471E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无推荐人：</w:t>
            </w:r>
          </w:p>
          <w:p w14:paraId="505AB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614DB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5F104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3D2F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187" w:type="dxa"/>
            <w:noWrap w:val="0"/>
            <w:vAlign w:val="center"/>
          </w:tcPr>
          <w:p w14:paraId="17C45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渠道客户</w:t>
            </w:r>
          </w:p>
        </w:tc>
        <w:tc>
          <w:tcPr>
            <w:tcW w:w="2725" w:type="dxa"/>
            <w:noWrap w:val="0"/>
            <w:vAlign w:val="center"/>
          </w:tcPr>
          <w:p w14:paraId="6EDF0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包括但不限于中介机构等需要支付佣金的相关机构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推荐的客户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265" w:type="dxa"/>
            <w:noWrap w:val="0"/>
            <w:vAlign w:val="center"/>
          </w:tcPr>
          <w:p w14:paraId="7F1A9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天-渠道公司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佣金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天数</w:t>
            </w:r>
          </w:p>
        </w:tc>
        <w:tc>
          <w:tcPr>
            <w:tcW w:w="3083" w:type="dxa"/>
            <w:noWrap w:val="0"/>
            <w:vAlign w:val="center"/>
          </w:tcPr>
          <w:p w14:paraId="4BD7E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4579E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566BE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1C74A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1187" w:type="dxa"/>
            <w:noWrap w:val="0"/>
            <w:vAlign w:val="center"/>
          </w:tcPr>
          <w:p w14:paraId="6B674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集团资源推荐客户</w:t>
            </w:r>
          </w:p>
        </w:tc>
        <w:tc>
          <w:tcPr>
            <w:tcW w:w="2725" w:type="dxa"/>
            <w:noWrap w:val="0"/>
            <w:vAlign w:val="center"/>
          </w:tcPr>
          <w:p w14:paraId="02755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集团系统内推荐的非集团系统内单位的客户。</w:t>
            </w:r>
          </w:p>
        </w:tc>
        <w:tc>
          <w:tcPr>
            <w:tcW w:w="1265" w:type="dxa"/>
            <w:noWrap w:val="0"/>
            <w:vAlign w:val="center"/>
          </w:tcPr>
          <w:p w14:paraId="23EF8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243D2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472B1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5B173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  <w:tr w14:paraId="2165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1187" w:type="dxa"/>
            <w:noWrap w:val="0"/>
            <w:vAlign w:val="center"/>
          </w:tcPr>
          <w:p w14:paraId="6990D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续租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客户</w:t>
            </w:r>
          </w:p>
        </w:tc>
        <w:tc>
          <w:tcPr>
            <w:tcW w:w="2725" w:type="dxa"/>
            <w:noWrap w:val="0"/>
            <w:vAlign w:val="center"/>
          </w:tcPr>
          <w:p w14:paraId="6EED0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新旧合同无时间间隔，租赁标的与原合同标的一致，若有扩租部分按直接客户计算。</w:t>
            </w:r>
          </w:p>
        </w:tc>
        <w:tc>
          <w:tcPr>
            <w:tcW w:w="1265" w:type="dxa"/>
            <w:noWrap w:val="0"/>
            <w:vAlign w:val="center"/>
          </w:tcPr>
          <w:p w14:paraId="6B82A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3083" w:type="dxa"/>
            <w:noWrap w:val="0"/>
            <w:vAlign w:val="center"/>
          </w:tcPr>
          <w:p w14:paraId="59FB4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一、招商运营部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2CC67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二、综合服务部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  <w:p w14:paraId="161A7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ind w:left="0" w:leftChars="0" w:right="0" w:rightChars="0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三、工程技术部</w:t>
            </w:r>
            <w:r>
              <w:rPr>
                <w:rFonts w:hint="eastAsia" w:ascii="仿宋_GB2312" w:hAnsi="仿宋_GB2312" w:cs="仿宋_GB2312"/>
                <w:color w:val="auto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%</w:t>
            </w:r>
          </w:p>
        </w:tc>
      </w:tr>
    </w:tbl>
    <w:p w14:paraId="75C94B3B">
      <w:pPr>
        <w:spacing w:line="360" w:lineRule="auto"/>
        <w:ind w:firstLine="640" w:firstLineChars="200"/>
        <w:rPr>
          <w:rFonts w:hint="eastAsia" w:ascii="宋体" w:hAnsi="宋体"/>
          <w:kern w:val="0"/>
          <w:sz w:val="32"/>
          <w:szCs w:val="32"/>
        </w:rPr>
      </w:pPr>
    </w:p>
    <w:p w14:paraId="6483D28C"/>
    <w:p w14:paraId="309A0554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546A0E9A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67CFAC49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2A13D88D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0E1A8E88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25332632">
      <w:pPr>
        <w:rPr>
          <w:rFonts w:hint="eastAsia" w:ascii="黑体" w:hAnsi="黑体" w:eastAsia="黑体" w:cs="黑体"/>
          <w:spacing w:val="-4"/>
          <w:sz w:val="32"/>
          <w:szCs w:val="32"/>
          <w:lang w:val="en-US" w:eastAsia="zh-CN"/>
        </w:rPr>
      </w:pPr>
    </w:p>
    <w:p w14:paraId="4074D1A3">
      <w:pPr>
        <w:jc w:val="center"/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</w:pPr>
      <w:r>
        <w:rPr>
          <w:rFonts w:hint="eastAsia" w:ascii="小标宋" w:hAnsi="小标宋" w:eastAsia="小标宋" w:cs="小标宋"/>
          <w:kern w:val="2"/>
          <w:sz w:val="44"/>
          <w:szCs w:val="44"/>
          <w:lang w:val="en-US" w:eastAsia="zh-CN" w:bidi="ar-SA"/>
        </w:rPr>
        <w:t>2025年度招商专项评分表</w:t>
      </w:r>
    </w:p>
    <w:p w14:paraId="0E4FB515">
      <w:pPr>
        <w:spacing w:line="360" w:lineRule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tbl>
      <w:tblPr>
        <w:tblStyle w:val="1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347"/>
        <w:gridCol w:w="2594"/>
        <w:gridCol w:w="2874"/>
      </w:tblGrid>
      <w:tr w14:paraId="6848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66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FB7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积分内容说明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00E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积分标准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19E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4B0C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272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31B6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拓展园区新的经营性业务获得收益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3374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10-40分/项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0C60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18D0BC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54BEE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5D14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A76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33C2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公司资金集中管理考核情况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1098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优秀积15分，良好积10分，合格积5分，不合格积0分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8D0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</w:tc>
      </w:tr>
      <w:tr w14:paraId="2DCCE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FB6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534C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年度客户对园区满意度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A756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85（含）-90，每增加1%积5分，90（含）-95，每增加1%积10分，95(含)-100，每增加1%积15分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236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229997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3AAC7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53C7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EA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84A2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集团集约化采购降本增效合规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FF00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5-30分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8AB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4E10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65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C7D42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廉易商城运营服务质量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38857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5-20分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6A8B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12221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537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1C93C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年度廉易超市商铺质量满意度调查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444FE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85（含）-90，每增加1%积5分，90（含）-95，每增加1%积10分，95(含)-100，每增加1%积15分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D375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26D36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FE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7130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有效管理公司物资采购，降低采购成本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A835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5-30分/次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80E9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5A9F42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73E1A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76CD7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2C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38B9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在园区应急突发事件中做出贡献，为公司减少损失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4904D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10-50分/次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D87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010C0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7D0D8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36482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943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13DB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实现园区智能化提升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42E37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10-30分/项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8DE6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26DE33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587C8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7C37A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74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B5B5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通过管理、技术使园区能耗节约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5068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5-30分/项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6BB4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47988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543E3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72AB5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13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01E8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检查出园区存在的安全隐患并闭环解决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01FE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5-50分/项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E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1CB3F0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28749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3F0D3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B16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8B94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对公司发展、园区运营等提出合理化建议，并经公司采纳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A347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5-50分/次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7964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4FDDA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1EF2B2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5139E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B8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B452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参加比赛获奖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775D4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资产管理公司级10分，集团级20分，市级30分，省级50分，国家级80分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688D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1A4AA7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66586A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2907A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E3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EE81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园区获得荣誉奖励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759B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区级20分，市级30分，省级50分，国家级80分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9D96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4BE089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6458AE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105F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4B1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A996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公司、物业、招商收到感谢信或锦旗等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50E6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15分/次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42DE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702EA4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7720B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5779B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54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4363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参与志愿服务活动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4B30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1分/次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3ACE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366C2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2DD34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3ED1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7F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1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4A8E6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总经理办公会认为可以加分的内容</w:t>
            </w:r>
          </w:p>
        </w:tc>
        <w:tc>
          <w:tcPr>
            <w:tcW w:w="1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A5D8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1-50分/项</w:t>
            </w:r>
          </w:p>
        </w:tc>
        <w:tc>
          <w:tcPr>
            <w:tcW w:w="16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DD8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default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综合服务部</w:t>
            </w:r>
          </w:p>
          <w:p w14:paraId="22B938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招商运营部</w:t>
            </w:r>
          </w:p>
          <w:p w14:paraId="0E028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工程技术部</w:t>
            </w:r>
          </w:p>
        </w:tc>
      </w:tr>
      <w:tr w14:paraId="2BD8A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4571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备注：区间分值由部门提出，经总经理办公会审核确定。</w:t>
            </w:r>
          </w:p>
        </w:tc>
      </w:tr>
    </w:tbl>
    <w:p w14:paraId="37D927A2">
      <w:pPr>
        <w:tabs>
          <w:tab w:val="left" w:pos="1667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7" w:type="default"/>
      <w:footerReference r:id="rId8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7FC99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99175A3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4526FAD2">
                          <w:pPr>
                            <w:pStyle w:val="11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9iC+ss0BAACn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9175A3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4526FAD2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C92A5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D6C18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56914C47">
                          <w:pPr>
                            <w:pStyle w:val="11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1D6C18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56914C47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D1E1A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9E58E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4DCE3675">
                          <w:pPr>
                            <w:pStyle w:val="11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+UJskBAACZAwAADgAAAGRycy9lMm9Eb2MueG1srVPNjtMwEL4j8Q6W&#10;79TZaoW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UX5Qm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79E58E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4DCE3675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C8115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2F967">
    <w:pPr>
      <w:pStyle w:val="12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FA497">
    <w:pPr>
      <w:pStyle w:val="12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03550AC"/>
    <w:rsid w:val="011407B8"/>
    <w:rsid w:val="03D472D2"/>
    <w:rsid w:val="052971A9"/>
    <w:rsid w:val="06902B37"/>
    <w:rsid w:val="086B6949"/>
    <w:rsid w:val="0AA71F06"/>
    <w:rsid w:val="0B662F05"/>
    <w:rsid w:val="0CC06154"/>
    <w:rsid w:val="0E8E1E00"/>
    <w:rsid w:val="0EC745C7"/>
    <w:rsid w:val="0F442881"/>
    <w:rsid w:val="10482561"/>
    <w:rsid w:val="148D27AB"/>
    <w:rsid w:val="14C84800"/>
    <w:rsid w:val="151614F8"/>
    <w:rsid w:val="1A2B3336"/>
    <w:rsid w:val="1A352420"/>
    <w:rsid w:val="1ADA2FC8"/>
    <w:rsid w:val="1B7156DA"/>
    <w:rsid w:val="1D036806"/>
    <w:rsid w:val="1D5A3F4C"/>
    <w:rsid w:val="1E2F362A"/>
    <w:rsid w:val="1EF61CF9"/>
    <w:rsid w:val="204C04C4"/>
    <w:rsid w:val="221A1EFC"/>
    <w:rsid w:val="235C0F21"/>
    <w:rsid w:val="25C54403"/>
    <w:rsid w:val="265424E3"/>
    <w:rsid w:val="26A20DF4"/>
    <w:rsid w:val="277327DA"/>
    <w:rsid w:val="291122AA"/>
    <w:rsid w:val="29C015DB"/>
    <w:rsid w:val="2C8B2374"/>
    <w:rsid w:val="31BF0120"/>
    <w:rsid w:val="32FB3FA8"/>
    <w:rsid w:val="337A0A2F"/>
    <w:rsid w:val="39CF3DA4"/>
    <w:rsid w:val="3AF56CD5"/>
    <w:rsid w:val="3F016E1E"/>
    <w:rsid w:val="41C76F4A"/>
    <w:rsid w:val="43590DB4"/>
    <w:rsid w:val="44205A10"/>
    <w:rsid w:val="46DD1730"/>
    <w:rsid w:val="47AF4636"/>
    <w:rsid w:val="49086A74"/>
    <w:rsid w:val="491868E5"/>
    <w:rsid w:val="49E8111A"/>
    <w:rsid w:val="4B47288B"/>
    <w:rsid w:val="4CAF57B3"/>
    <w:rsid w:val="4CEE62DB"/>
    <w:rsid w:val="4CF16D42"/>
    <w:rsid w:val="4D4F1685"/>
    <w:rsid w:val="4DEA6AA2"/>
    <w:rsid w:val="4ED20C83"/>
    <w:rsid w:val="51152395"/>
    <w:rsid w:val="52D47D21"/>
    <w:rsid w:val="536A2433"/>
    <w:rsid w:val="53D919D2"/>
    <w:rsid w:val="576E0201"/>
    <w:rsid w:val="57827FF4"/>
    <w:rsid w:val="57DA7B88"/>
    <w:rsid w:val="59F67BEB"/>
    <w:rsid w:val="5B0D2022"/>
    <w:rsid w:val="5BC30D7D"/>
    <w:rsid w:val="61E57855"/>
    <w:rsid w:val="63E3341E"/>
    <w:rsid w:val="653C2396"/>
    <w:rsid w:val="657B39ED"/>
    <w:rsid w:val="65CB0B10"/>
    <w:rsid w:val="669C24AC"/>
    <w:rsid w:val="697C1F47"/>
    <w:rsid w:val="6AD761A9"/>
    <w:rsid w:val="6E53384B"/>
    <w:rsid w:val="70C44AD9"/>
    <w:rsid w:val="72E66F89"/>
    <w:rsid w:val="74510D7A"/>
    <w:rsid w:val="75466405"/>
    <w:rsid w:val="75E66401"/>
    <w:rsid w:val="76662BDA"/>
    <w:rsid w:val="7950774B"/>
    <w:rsid w:val="7A083C89"/>
    <w:rsid w:val="7B113011"/>
    <w:rsid w:val="7F9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1"/>
    <w:pPr>
      <w:ind w:left="250" w:right="415"/>
      <w:jc w:val="center"/>
      <w:outlineLvl w:val="1"/>
    </w:pPr>
    <w:rPr>
      <w:rFonts w:ascii="小标宋" w:hAnsi="小标宋" w:eastAsia="小标宋" w:cs="小标宋"/>
      <w:sz w:val="44"/>
      <w:szCs w:val="44"/>
      <w:lang w:val="zh-CN" w:eastAsia="zh-CN" w:bidi="zh-CN"/>
    </w:rPr>
  </w:style>
  <w:style w:type="paragraph" w:styleId="3">
    <w:name w:val="heading 2"/>
    <w:basedOn w:val="4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ascii="Times New Roman" w:hAnsi="Times New Roman" w:eastAsia="方正书宋简体"/>
      <w:kern w:val="0"/>
      <w:sz w:val="44"/>
      <w:szCs w:val="20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a heading"/>
    <w:basedOn w:val="1"/>
    <w:next w:val="1"/>
    <w:unhideWhenUsed/>
    <w:qFormat/>
    <w:uiPriority w:val="99"/>
    <w:pPr>
      <w:spacing w:before="120"/>
    </w:pPr>
    <w:rPr>
      <w:rFonts w:ascii="Arial" w:hAnsi="Arial"/>
      <w:sz w:val="24"/>
    </w:rPr>
  </w:style>
  <w:style w:type="paragraph" w:styleId="5">
    <w:name w:val="Normal Indent"/>
    <w:basedOn w:val="1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8">
    <w:name w:val="Body Text Indent"/>
    <w:basedOn w:val="1"/>
    <w:next w:val="1"/>
    <w:qFormat/>
    <w:uiPriority w:val="0"/>
    <w:pPr>
      <w:ind w:firstLine="7290"/>
    </w:pPr>
    <w:rPr>
      <w:sz w:val="28"/>
    </w:rPr>
  </w:style>
  <w:style w:type="paragraph" w:styleId="9">
    <w:name w:val="Plain Text"/>
    <w:basedOn w:val="1"/>
    <w:qFormat/>
    <w:uiPriority w:val="0"/>
    <w:rPr>
      <w:rFonts w:ascii="宋体" w:hAnsi="Courier New" w:cs="Courier New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1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2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next w:val="1"/>
    <w:qFormat/>
    <w:uiPriority w:val="10"/>
    <w:pPr>
      <w:widowControl w:val="0"/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16">
    <w:name w:val="Body Text First Indent 2"/>
    <w:basedOn w:val="8"/>
    <w:qFormat/>
    <w:uiPriority w:val="0"/>
    <w:pPr>
      <w:spacing w:line="360" w:lineRule="auto"/>
      <w:ind w:firstLine="420" w:firstLineChars="200"/>
    </w:pPr>
    <w:rPr>
      <w:rFonts w:ascii="Calibri" w:hAnsi="Calibri"/>
      <w:sz w:val="24"/>
      <w:szCs w:val="22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paragraph" w:customStyle="1" w:styleId="21">
    <w:name w:val="_Style 2"/>
    <w:basedOn w:val="1"/>
    <w:autoRedefine/>
    <w:qFormat/>
    <w:uiPriority w:val="0"/>
    <w:pPr>
      <w:ind w:firstLine="200" w:firstLineChars="200"/>
    </w:pPr>
    <w:rPr>
      <w:sz w:val="28"/>
    </w:rPr>
  </w:style>
  <w:style w:type="character" w:customStyle="1" w:styleId="22">
    <w:name w:val="font0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3">
    <w:name w:val="font1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4">
    <w:name w:val="标题 1 字符"/>
    <w:link w:val="2"/>
    <w:qFormat/>
    <w:uiPriority w:val="9"/>
    <w:rPr>
      <w:rFonts w:ascii="小标宋" w:hAnsi="小标宋" w:eastAsia="小标宋" w:cs="小标宋"/>
      <w:sz w:val="44"/>
      <w:szCs w:val="44"/>
      <w:lang w:val="zh-CN" w:eastAsia="zh-CN" w:bidi="zh-CN"/>
    </w:rPr>
  </w:style>
  <w:style w:type="table" w:customStyle="1" w:styleId="2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6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7">
    <w:name w:val="列出段落1"/>
    <w:basedOn w:val="1"/>
    <w:qFormat/>
    <w:uiPriority w:val="34"/>
    <w:pPr>
      <w:ind w:firstLine="420" w:firstLineChars="200"/>
    </w:pPr>
  </w:style>
  <w:style w:type="character" w:customStyle="1" w:styleId="28">
    <w:name w:val="font61"/>
    <w:basedOn w:val="19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29">
    <w:name w:val="font41"/>
    <w:basedOn w:val="1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30">
    <w:name w:val="Table caption|1"/>
    <w:basedOn w:val="1"/>
    <w:qFormat/>
    <w:uiPriority w:val="0"/>
    <w:pPr>
      <w:autoSpaceDE w:val="0"/>
      <w:autoSpaceDN w:val="0"/>
      <w:spacing w:line="314" w:lineRule="exact"/>
      <w:ind w:firstLine="874" w:firstLineChars="200"/>
      <w:jc w:val="left"/>
    </w:pPr>
    <w:rPr>
      <w:rFonts w:ascii="宋体" w:hAnsi="宋体" w:eastAsia="宋体" w:cs="宋体"/>
      <w:kern w:val="0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2511</Words>
  <Characters>2568</Characters>
  <Lines>0</Lines>
  <Paragraphs>0</Paragraphs>
  <TotalTime>5</TotalTime>
  <ScaleCrop>false</ScaleCrop>
  <LinksUpToDate>false</LinksUpToDate>
  <CharactersWithSpaces>2664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2024-07-12T07:20:00Z</dcterms:created>
  <dc:creator>Administrator</dc:creator>
  <cp:lastModifiedBy>沈涌</cp:lastModifiedBy>
  <dcterms:modified xsi:type="dcterms:W3CDTF">2026-07-30T08:30:01Z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86442A56F7C94B42835478C392C720E1_12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