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Layout w:type="fixed"/>
        <w:tblCellMar>
          <w:top w:w="0" w:type="dxa"/>
          <w:left w:w="0" w:type="dxa"/>
          <w:bottom w:w="0" w:type="dxa"/>
          <w:right w:w="0" w:type="dxa"/>
        </w:tblCellMar>
      </w:tblPr>
      <w:tblGrid>
        <w:gridCol w:w="8843"/>
      </w:tblGrid>
      <w:tr>
        <w:tblPrEx>
          <w:tblCellMar>
            <w:top w:w="0" w:type="dxa"/>
            <w:left w:w="0" w:type="dxa"/>
            <w:bottom w:w="0" w:type="dxa"/>
            <w:right w:w="0" w:type="dxa"/>
          </w:tblCellMar>
        </w:tblPrEx>
        <w:trPr>
          <w:cantSplit/>
          <w:trHeight w:val="1752" w:hRule="atLeast"/>
        </w:trPr>
        <w:tc>
          <w:tcPr>
            <w:tcW w:w="8843" w:type="dxa"/>
            <w:tcBorders>
              <w:top w:val="nil"/>
              <w:left w:val="nil"/>
              <w:bottom w:val="nil"/>
              <w:right w:val="nil"/>
            </w:tcBorders>
            <w:noWrap w:val="0"/>
            <w:vAlign w:val="top"/>
          </w:tcPr>
          <w:p>
            <w:pPr>
              <w:spacing w:before="40" w:line="316" w:lineRule="auto"/>
              <w:rPr>
                <w:rFonts w:hint="eastAsia" w:ascii="黑体" w:eastAsia="黑体" w:cs="黑体"/>
                <w:sz w:val="32"/>
                <w:szCs w:val="20"/>
              </w:rPr>
            </w:pPr>
          </w:p>
          <w:p>
            <w:pPr>
              <w:spacing w:before="40" w:line="316" w:lineRule="auto"/>
              <w:rPr>
                <w:rFonts w:hint="eastAsia" w:ascii="黑体" w:eastAsia="黑体" w:cs="黑体"/>
                <w:szCs w:val="32"/>
              </w:rPr>
            </w:pPr>
          </w:p>
        </w:tc>
      </w:tr>
      <w:tr>
        <w:tblPrEx>
          <w:tblCellMar>
            <w:top w:w="0" w:type="dxa"/>
            <w:left w:w="0" w:type="dxa"/>
            <w:bottom w:w="0" w:type="dxa"/>
            <w:right w:w="0" w:type="dxa"/>
          </w:tblCellMar>
        </w:tblPrEx>
        <w:trPr>
          <w:cantSplit/>
        </w:trPr>
        <w:tc>
          <w:tcPr>
            <w:tcW w:w="8843" w:type="dxa"/>
            <w:tcBorders>
              <w:top w:val="nil"/>
              <w:left w:val="nil"/>
              <w:bottom w:val="nil"/>
              <w:right w:val="nil"/>
            </w:tcBorders>
            <w:noWrap w:val="0"/>
            <w:vAlign w:val="top"/>
          </w:tcPr>
          <w:p>
            <w:pPr>
              <w:adjustRightInd w:val="0"/>
              <w:snapToGrid w:val="0"/>
              <w:spacing w:line="1200" w:lineRule="exact"/>
              <w:jc w:val="center"/>
              <w:rPr>
                <w:rFonts w:hint="eastAsia" w:ascii="方正小标宋简体" w:eastAsia="方正小标宋简体" w:cs="方正小标宋简体"/>
                <w:color w:val="FF0000"/>
                <w:sz w:val="106"/>
                <w:szCs w:val="106"/>
              </w:rPr>
            </w:pPr>
            <w:r>
              <w:rPr>
                <w:rFonts w:ascii="小标宋" w:eastAsia="小标宋"/>
                <w:color w:val="FF0000"/>
                <w:spacing w:val="-40"/>
                <w:sz w:val="72"/>
                <w:szCs w:val="72"/>
              </w:rPr>
              <w:pict>
                <v:shape id="_x0000_i1025" o:spt="136" type="#_x0000_t136" style="height:43.5pt;width:439.5pt;" fillcolor="#FF0000" filled="t" stroked="t" coordsize="21600,21600">
                  <v:path/>
                  <v:fill on="t" focussize="0,0"/>
                  <v:stroke color="#FF0000"/>
                  <v:imagedata o:title=""/>
                  <o:lock v:ext="edit" aspectratio="t"/>
                  <v:textpath on="t" fitshape="t" fitpath="t" trim="t" xscale="f" string="杭州市交通投资集团有限公司文件" style="font-family:小标宋;font-size:36pt;v-rotate-letters:f;v-same-letter-heights:f;v-text-align:center;"/>
                  <w10:wrap type="none"/>
                  <w10:anchorlock/>
                </v:shape>
              </w:pict>
            </w:r>
          </w:p>
        </w:tc>
      </w:tr>
      <w:tr>
        <w:tblPrEx>
          <w:tblCellMar>
            <w:top w:w="0" w:type="dxa"/>
            <w:left w:w="0" w:type="dxa"/>
            <w:bottom w:w="0" w:type="dxa"/>
            <w:right w:w="0" w:type="dxa"/>
          </w:tblCellMar>
        </w:tblPrEx>
        <w:trPr>
          <w:cantSplit/>
          <w:trHeight w:val="921" w:hRule="atLeast"/>
        </w:trPr>
        <w:tc>
          <w:tcPr>
            <w:tcW w:w="8843" w:type="dxa"/>
            <w:tcBorders>
              <w:top w:val="nil"/>
              <w:left w:val="nil"/>
              <w:bottom w:val="nil"/>
              <w:right w:val="nil"/>
            </w:tcBorders>
            <w:noWrap w:val="0"/>
            <w:vAlign w:val="center"/>
          </w:tcPr>
          <w:p>
            <w:pPr>
              <w:rPr>
                <w:rFonts w:hint="eastAsia" w:ascii="仿宋_GB2312" w:eastAsia="仿宋_GB2312"/>
                <w:sz w:val="32"/>
                <w:szCs w:val="20"/>
              </w:rPr>
            </w:pPr>
          </w:p>
        </w:tc>
      </w:tr>
      <w:tr>
        <w:tblPrEx>
          <w:tblCellMar>
            <w:top w:w="0" w:type="dxa"/>
            <w:left w:w="0" w:type="dxa"/>
            <w:bottom w:w="0" w:type="dxa"/>
            <w:right w:w="0" w:type="dxa"/>
          </w:tblCellMar>
        </w:tblPrEx>
        <w:trPr>
          <w:cantSplit/>
        </w:trPr>
        <w:tc>
          <w:tcPr>
            <w:tcW w:w="8843" w:type="dxa"/>
            <w:tcBorders>
              <w:top w:val="nil"/>
              <w:left w:val="nil"/>
              <w:bottom w:val="single" w:color="FF0000" w:sz="24" w:space="0"/>
              <w:right w:val="nil"/>
            </w:tcBorders>
            <w:noWrap w:val="0"/>
            <w:tcMar>
              <w:bottom w:w="227" w:type="dxa"/>
            </w:tcMar>
            <w:vAlign w:val="bottom"/>
          </w:tcPr>
          <w:p>
            <w:pPr>
              <w:spacing w:line="338" w:lineRule="auto"/>
              <w:jc w:val="center"/>
              <w:rPr>
                <w:rFonts w:hint="eastAsia" w:ascii="仿宋_GB2312" w:eastAsia="仿宋_GB2312" w:cs="仿宋_GB2312"/>
                <w:sz w:val="32"/>
                <w:szCs w:val="32"/>
                <w:lang w:eastAsia="zh-CN"/>
              </w:rPr>
            </w:pPr>
            <w:bookmarkStart w:id="0" w:name="doc_mark"/>
            <w:r>
              <w:rPr>
                <w:rFonts w:hint="eastAsia" w:ascii="仿宋_GB2312" w:eastAsia="仿宋_GB2312" w:cs="仿宋_GB2312"/>
                <w:sz w:val="32"/>
                <w:szCs w:val="32"/>
                <w:lang w:eastAsia="zh-CN"/>
              </w:rPr>
              <w:t>杭交投集团〔2026〕56号</w:t>
            </w:r>
            <w:bookmarkEnd w:id="0"/>
          </w:p>
        </w:tc>
      </w:tr>
      <w:tr>
        <w:tblPrEx>
          <w:tblCellMar>
            <w:top w:w="0" w:type="dxa"/>
            <w:left w:w="0" w:type="dxa"/>
            <w:bottom w:w="0" w:type="dxa"/>
            <w:right w:w="0" w:type="dxa"/>
          </w:tblCellMar>
        </w:tblPrEx>
        <w:trPr>
          <w:cantSplit/>
          <w:trHeight w:val="916" w:hRule="atLeast"/>
        </w:trPr>
        <w:tc>
          <w:tcPr>
            <w:tcW w:w="8843" w:type="dxa"/>
            <w:tcBorders>
              <w:top w:val="single" w:color="FF0000" w:sz="24" w:space="0"/>
              <w:left w:val="nil"/>
              <w:bottom w:val="nil"/>
              <w:right w:val="nil"/>
            </w:tcBorders>
            <w:noWrap w:val="0"/>
            <w:vAlign w:val="center"/>
          </w:tcPr>
          <w:p>
            <w:pPr>
              <w:tabs>
                <w:tab w:val="left" w:pos="3808"/>
              </w:tabs>
              <w:jc w:val="center"/>
              <w:rPr>
                <w:rFonts w:hint="eastAsia" w:ascii="仿宋_GB2312" w:hAnsi="仿宋_GB2312"/>
                <w:bCs/>
                <w:sz w:val="32"/>
              </w:rPr>
            </w:pPr>
          </w:p>
          <w:p>
            <w:pPr>
              <w:tabs>
                <w:tab w:val="left" w:pos="3808"/>
              </w:tabs>
              <w:jc w:val="center"/>
              <w:rPr>
                <w:rFonts w:hint="eastAsia" w:ascii="仿宋_GB2312" w:hAnsi="仿宋_GB2312"/>
                <w:bCs/>
              </w:rPr>
            </w:pPr>
          </w:p>
        </w:tc>
      </w:tr>
    </w:tbl>
    <w:p>
      <w:pPr>
        <w:keepNext w:val="0"/>
        <w:keepLines w:val="0"/>
        <w:widowControl w:val="0"/>
        <w:suppressLineNumbers w:val="0"/>
        <w:autoSpaceDE w:val="0"/>
        <w:autoSpaceDN/>
        <w:spacing w:before="0" w:beforeAutospacing="0" w:after="0" w:afterAutospacing="0"/>
        <w:ind w:left="0" w:right="0" w:rightChars="0"/>
        <w:jc w:val="center"/>
        <w:rPr>
          <w:rFonts w:hint="default" w:ascii="方正小标宋简体" w:hAnsi="方正小标宋简体" w:eastAsia="方正小标宋简体" w:cs="方正小标宋简体"/>
          <w:b w:val="0"/>
          <w:bCs w:val="0"/>
          <w:kern w:val="2"/>
          <w:sz w:val="44"/>
          <w:szCs w:val="44"/>
        </w:rPr>
      </w:pPr>
      <w:bookmarkStart w:id="1" w:name="Content"/>
      <w:bookmarkEnd w:id="1"/>
      <w:r>
        <w:rPr>
          <w:rFonts w:hint="eastAsia" w:ascii="方正小标宋简体" w:hAnsi="方正小标宋简体" w:eastAsia="方正小标宋简体" w:cs="方正小标宋简体"/>
          <w:b w:val="0"/>
          <w:bCs w:val="0"/>
          <w:spacing w:val="0"/>
          <w:kern w:val="2"/>
          <w:sz w:val="44"/>
          <w:szCs w:val="44"/>
          <w:lang w:val="en-US" w:eastAsia="zh-CN" w:bidi="ar"/>
        </w:rPr>
        <w:t>关于印发《杭州市交通投资集团有限公司专业房产管理办法》的通知</w:t>
      </w:r>
    </w:p>
    <w:p>
      <w:pPr>
        <w:pStyle w:val="2"/>
        <w:keepNext w:val="0"/>
        <w:keepLines w:val="0"/>
        <w:widowControl w:val="0"/>
        <w:suppressLineNumbers w:val="0"/>
        <w:autoSpaceDE w:val="0"/>
        <w:autoSpaceDN/>
        <w:spacing w:line="520" w:lineRule="exact"/>
        <w:ind w:left="0" w:firstLine="360" w:firstLineChars="200"/>
        <w:rPr>
          <w:rFonts w:hint="eastAsia" w:ascii="仿宋_GB2312" w:eastAsia="仿宋_GB2312" w:cs="仿宋_GB2312"/>
          <w:kern w:val="2"/>
          <w:sz w:val="32"/>
          <w:szCs w:val="32"/>
        </w:rPr>
      </w:pPr>
      <w:r>
        <w:rPr>
          <w:rFonts w:hint="default" w:ascii="Arial" w:hAnsi="Arial" w:eastAsia="宋体" w:cs="Arial"/>
          <w:kern w:val="2"/>
          <w:sz w:val="18"/>
          <w:szCs w:val="18"/>
        </w:rPr>
        <w:t xml:space="preserve"> </w:t>
      </w:r>
    </w:p>
    <w:p>
      <w:pPr>
        <w:spacing w:line="560" w:lineRule="exact"/>
        <w:rPr>
          <w:rFonts w:hint="eastAsia" w:ascii="仿宋_GB2312" w:hAnsi="仿宋_GB2312" w:eastAsia="仿宋_GB2312" w:cs="仿宋_GB2312"/>
          <w:sz w:val="32"/>
          <w:szCs w:val="32"/>
        </w:rPr>
      </w:pPr>
      <w:bookmarkStart w:id="4" w:name="_GoBack"/>
      <w:r>
        <w:rPr>
          <w:rFonts w:hint="eastAsia" w:ascii="仿宋_GB2312" w:hAnsi="仿宋_GB2312" w:eastAsia="仿宋_GB2312" w:cs="仿宋_GB2312"/>
          <w:sz w:val="32"/>
          <w:szCs w:val="32"/>
          <w:lang w:val="en-US" w:eastAsia="zh-CN"/>
        </w:rPr>
        <w:t>各单位、集团公司各部室：</w:t>
      </w:r>
    </w:p>
    <w:p>
      <w:pPr>
        <w:spacing w:line="560" w:lineRule="exact"/>
        <w:ind w:left="0" w:leftChars="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现将修订后的《杭州市交通投资集团有限公司专业房产管理办法》印发给你们，请认真贯彻落实，遵照执行。</w:t>
      </w:r>
    </w:p>
    <w:p>
      <w:pPr>
        <w:keepNext w:val="0"/>
        <w:keepLines w:val="0"/>
        <w:widowControl w:val="0"/>
        <w:suppressLineNumbers w:val="0"/>
        <w:autoSpaceDE w:val="0"/>
        <w:autoSpaceDN/>
        <w:spacing w:before="186" w:beforeAutospacing="0" w:after="0" w:afterAutospacing="0" w:line="560" w:lineRule="exact"/>
        <w:ind w:left="0" w:right="0" w:firstLine="640" w:firstLineChars="200"/>
        <w:jc w:val="both"/>
        <w:rPr>
          <w:rFonts w:hint="eastAsia" w:ascii="仿宋_GB2312" w:hAnsi="Times New Roman" w:eastAsia="仿宋_GB2312" w:cs="仿宋_GB2312"/>
          <w:spacing w:val="0"/>
          <w:kern w:val="2"/>
          <w:sz w:val="32"/>
          <w:szCs w:val="32"/>
          <w:lang w:val="en-US" w:eastAsia="zh-CN" w:bidi="ar"/>
        </w:rPr>
      </w:pPr>
      <w:r>
        <w:rPr>
          <w:rFonts w:hint="eastAsia" w:ascii="仿宋_GB2312" w:hAnsi="Times New Roman" w:eastAsia="仿宋_GB2312" w:cs="仿宋_GB2312"/>
          <w:spacing w:val="0"/>
          <w:kern w:val="2"/>
          <w:sz w:val="32"/>
          <w:szCs w:val="32"/>
          <w:lang w:val="en-US" w:eastAsia="zh-CN" w:bidi="ar"/>
        </w:rPr>
        <w:t xml:space="preserve"> </w:t>
      </w:r>
    </w:p>
    <w:p>
      <w:pPr>
        <w:keepNext w:val="0"/>
        <w:keepLines w:val="0"/>
        <w:widowControl w:val="0"/>
        <w:suppressLineNumbers w:val="0"/>
        <w:autoSpaceDE w:val="0"/>
        <w:autoSpaceDN/>
        <w:spacing w:before="186" w:beforeAutospacing="0" w:after="0" w:afterAutospacing="0" w:line="560" w:lineRule="exact"/>
        <w:ind w:left="0" w:right="0" w:firstLine="640" w:firstLineChars="200"/>
        <w:jc w:val="both"/>
        <w:rPr>
          <w:rFonts w:hint="eastAsia" w:ascii="仿宋_GB2312" w:hAnsi="Times New Roman" w:eastAsia="仿宋_GB2312" w:cs="仿宋_GB2312"/>
          <w:spacing w:val="0"/>
          <w:kern w:val="2"/>
          <w:sz w:val="32"/>
          <w:szCs w:val="32"/>
          <w:lang w:val="en-US" w:eastAsia="zh-CN" w:bidi="ar"/>
        </w:rPr>
      </w:pPr>
    </w:p>
    <w:p>
      <w:pPr>
        <w:spacing w:line="560" w:lineRule="exact"/>
        <w:jc w:val="right"/>
        <w:rPr>
          <w:rFonts w:hint="eastAsia" w:ascii="仿宋_GB2312" w:hAnsi="仿宋_GB2312" w:eastAsia="仿宋_GB2312" w:cs="仿宋_GB2312"/>
          <w:sz w:val="32"/>
          <w:szCs w:val="32"/>
        </w:rPr>
      </w:pPr>
      <w:r>
        <w:rPr>
          <w:rFonts w:hint="eastAsia" w:ascii="仿宋_GB2312" w:eastAsia="仿宋_GB2312" w:cs="仿宋_GB2312"/>
          <w:kern w:val="2"/>
          <w:sz w:val="32"/>
          <w:szCs w:val="32"/>
        </w:rPr>
        <w:t xml:space="preserve">                 </w:t>
      </w:r>
      <w:r>
        <w:rPr>
          <w:rFonts w:hint="eastAsia" w:ascii="仿宋_GB2312" w:hAnsi="仿宋_GB2312" w:eastAsia="仿宋_GB2312" w:cs="仿宋_GB2312"/>
          <w:sz w:val="32"/>
          <w:szCs w:val="32"/>
        </w:rPr>
        <w:t xml:space="preserve"> 杭州市交通投资集团有限公司</w:t>
      </w:r>
    </w:p>
    <w:p>
      <w:pPr>
        <w:spacing w:line="560" w:lineRule="exact"/>
        <w:ind w:right="840" w:rightChars="400"/>
        <w:jc w:val="right"/>
      </w:pPr>
      <w:r>
        <w:rPr>
          <w:rFonts w:hint="eastAsia" w:ascii="仿宋_GB2312" w:hAnsi="仿宋_GB2312" w:eastAsia="仿宋_GB2312" w:cs="仿宋_GB2312"/>
          <w:sz w:val="32"/>
          <w:szCs w:val="32"/>
        </w:rPr>
        <w:t xml:space="preserve">                  2026年6月1</w:t>
      </w:r>
      <w:r>
        <w:rPr>
          <w:rFonts w:hint="default" w:ascii="仿宋_GB2312" w:hAnsi="仿宋_GB2312" w:eastAsia="仿宋_GB2312" w:cs="仿宋_GB2312"/>
          <w:sz w:val="32"/>
          <w:szCs w:val="32"/>
        </w:rPr>
        <w:t>7</w:t>
      </w:r>
      <w:r>
        <w:rPr>
          <w:rFonts w:hint="eastAsia" w:ascii="仿宋_GB2312" w:hAnsi="仿宋_GB2312" w:eastAsia="仿宋_GB2312" w:cs="仿宋_GB2312"/>
          <w:sz w:val="32"/>
          <w:szCs w:val="32"/>
        </w:rPr>
        <w:t>日</w:t>
      </w:r>
    </w:p>
    <w:p>
      <w:pPr>
        <w:spacing w:line="560" w:lineRule="exact"/>
        <w:rPr>
          <w:rFonts w:hint="eastAsia"/>
        </w:rPr>
        <w:sectPr>
          <w:footerReference r:id="rId3" w:type="default"/>
          <w:footerReference r:id="rId4" w:type="even"/>
          <w:pgSz w:w="11905" w:h="16838"/>
          <w:pgMar w:top="1712" w:right="1474" w:bottom="935" w:left="1587" w:header="851" w:footer="992" w:gutter="0"/>
          <w:pgNumType w:fmt="decimal"/>
          <w:cols w:space="720" w:num="1"/>
          <w:docGrid w:type="lines" w:linePitch="312" w:charSpace="0"/>
        </w:sectPr>
      </w:pPr>
    </w:p>
    <w:bookmarkEnd w:id="4"/>
    <w:p>
      <w:pPr>
        <w:keepNext w:val="0"/>
        <w:keepLines w:val="0"/>
        <w:widowControl/>
        <w:suppressLineNumbers w:val="0"/>
        <w:autoSpaceDE w:val="0"/>
        <w:autoSpaceDN/>
        <w:spacing w:before="0" w:beforeAutospacing="0" w:after="0" w:afterAutospacing="0" w:line="240" w:lineRule="auto"/>
        <w:ind w:left="0" w:right="0"/>
        <w:jc w:val="center"/>
        <w:outlineLvl w:val="0"/>
        <w:rPr>
          <w:rFonts w:hint="eastAsia" w:ascii="方正小标宋简体" w:hAnsi="方正小标宋简体" w:eastAsia="方正小标宋简体" w:cs="方正小标宋简体"/>
          <w:b w:val="0"/>
          <w:bCs w:val="0"/>
          <w:kern w:val="0"/>
          <w:sz w:val="44"/>
          <w:szCs w:val="44"/>
        </w:rPr>
      </w:pPr>
      <w:r>
        <w:rPr>
          <w:rFonts w:hint="eastAsia" w:ascii="方正小标宋简体" w:hAnsi="方正小标宋简体" w:eastAsia="方正小标宋简体" w:cs="方正小标宋简体"/>
          <w:b w:val="0"/>
          <w:bCs w:val="0"/>
          <w:kern w:val="0"/>
          <w:sz w:val="44"/>
          <w:szCs w:val="44"/>
          <w:lang w:val="en-US" w:eastAsia="zh-CN" w:bidi="ar"/>
        </w:rPr>
        <w:t>杭州市交通投资集团有限公司</w:t>
      </w:r>
    </w:p>
    <w:p>
      <w:pPr>
        <w:keepNext w:val="0"/>
        <w:keepLines w:val="0"/>
        <w:widowControl/>
        <w:suppressLineNumbers w:val="0"/>
        <w:autoSpaceDE w:val="0"/>
        <w:autoSpaceDN/>
        <w:spacing w:before="0" w:beforeAutospacing="0" w:after="0" w:afterAutospacing="0" w:line="240" w:lineRule="auto"/>
        <w:ind w:left="0" w:right="0"/>
        <w:jc w:val="center"/>
        <w:outlineLvl w:val="0"/>
        <w:rPr>
          <w:rFonts w:hint="eastAsia" w:ascii="小标宋" w:hAnsi="小标宋" w:eastAsia="小标宋" w:cs="小标宋"/>
          <w:b w:val="0"/>
          <w:bCs w:val="0"/>
          <w:kern w:val="0"/>
          <w:sz w:val="44"/>
          <w:szCs w:val="44"/>
        </w:rPr>
      </w:pPr>
      <w:r>
        <w:rPr>
          <w:rFonts w:hint="eastAsia" w:ascii="方正小标宋简体" w:hAnsi="方正小标宋简体" w:eastAsia="方正小标宋简体" w:cs="方正小标宋简体"/>
          <w:b w:val="0"/>
          <w:bCs w:val="0"/>
          <w:kern w:val="0"/>
          <w:sz w:val="44"/>
          <w:szCs w:val="44"/>
          <w:lang w:val="en-US" w:eastAsia="zh-CN" w:bidi="ar"/>
        </w:rPr>
        <w:t>专业房产管理办法</w:t>
      </w:r>
    </w:p>
    <w:p>
      <w:pPr>
        <w:keepNext w:val="0"/>
        <w:keepLines w:val="0"/>
        <w:widowControl/>
        <w:suppressLineNumbers w:val="0"/>
        <w:autoSpaceDE w:val="0"/>
        <w:autoSpaceDN/>
        <w:spacing w:before="0" w:beforeAutospacing="0" w:after="0" w:afterAutospacing="0" w:line="600" w:lineRule="exact"/>
        <w:ind w:left="0" w:right="0"/>
        <w:jc w:val="center"/>
        <w:outlineLvl w:val="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lang w:val="en-US" w:eastAsia="zh-CN" w:bidi="ar"/>
        </w:rPr>
        <w:t xml:space="preserve"> </w:t>
      </w:r>
    </w:p>
    <w:p>
      <w:pPr>
        <w:keepNext w:val="0"/>
        <w:keepLines w:val="0"/>
        <w:widowControl/>
        <w:suppressLineNumbers w:val="0"/>
        <w:autoSpaceDE w:val="0"/>
        <w:autoSpaceDN/>
        <w:spacing w:before="0" w:beforeAutospacing="0" w:after="0" w:afterAutospacing="0" w:line="560" w:lineRule="exact"/>
        <w:ind w:left="0" w:right="0"/>
        <w:jc w:val="center"/>
        <w:outlineLvl w:val="1"/>
        <w:rPr>
          <w:rFonts w:hint="default" w:ascii="Times New Roman" w:hAnsi="Times New Roman" w:eastAsia="黑体" w:cs="Times New Roman"/>
          <w:b w:val="0"/>
          <w:bCs w:val="0"/>
          <w:kern w:val="0"/>
          <w:sz w:val="32"/>
          <w:szCs w:val="32"/>
        </w:rPr>
      </w:pPr>
      <w:r>
        <w:rPr>
          <w:rFonts w:hint="default" w:ascii="黑体" w:hAnsi="宋体" w:eastAsia="黑体" w:cs="黑体"/>
          <w:b w:val="0"/>
          <w:bCs w:val="0"/>
          <w:kern w:val="0"/>
          <w:sz w:val="32"/>
          <w:szCs w:val="32"/>
          <w:lang w:val="en-US" w:eastAsia="zh-CN" w:bidi="ar"/>
        </w:rPr>
        <w:t>第一章</w:t>
      </w:r>
      <w:r>
        <w:rPr>
          <w:rFonts w:hint="default" w:ascii="Times New Roman" w:hAnsi="Times New Roman" w:eastAsia="黑体" w:cs="Times New Roman"/>
          <w:b w:val="0"/>
          <w:bCs w:val="0"/>
          <w:kern w:val="0"/>
          <w:sz w:val="32"/>
          <w:szCs w:val="32"/>
          <w:lang w:val="en-US" w:eastAsia="zh-CN" w:bidi="ar"/>
        </w:rPr>
        <w:t xml:space="preserve"> </w:t>
      </w:r>
      <w:r>
        <w:rPr>
          <w:rFonts w:hint="default" w:ascii="黑体" w:hAnsi="宋体" w:eastAsia="黑体" w:cs="黑体"/>
          <w:b w:val="0"/>
          <w:bCs w:val="0"/>
          <w:kern w:val="0"/>
          <w:sz w:val="32"/>
          <w:szCs w:val="32"/>
          <w:lang w:val="en-US" w:eastAsia="zh-CN" w:bidi="ar"/>
        </w:rPr>
        <w:t>总则</w:t>
      </w:r>
    </w:p>
    <w:p>
      <w:pPr>
        <w:spacing w:line="560" w:lineRule="exact"/>
        <w:ind w:left="0" w:leftChars="0" w:firstLine="642" w:firstLineChars="200"/>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lang w:eastAsia="zh-CN"/>
        </w:rPr>
        <w:t>第一条</w:t>
      </w:r>
      <w:r>
        <w:rPr>
          <w:rFonts w:hint="default"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val="en-US" w:eastAsia="zh-CN"/>
        </w:rPr>
        <w:t>为规范杭州市交通投资集团有限公司（以下简称“集团公司”）专业房产管理，提高经营效益，防范廉政风险，根据市国资委相关规定，结合集团公司实际，制定本办法。</w:t>
      </w:r>
    </w:p>
    <w:p>
      <w:pPr>
        <w:spacing w:line="560" w:lineRule="exact"/>
        <w:ind w:left="0" w:leftChars="0" w:firstLine="642" w:firstLineChars="200"/>
        <w:rPr>
          <w:rFonts w:hint="eastAsia" w:ascii="仿宋_GB2312" w:hAnsi="仿宋_GB2312" w:eastAsia="仿宋_GB2312" w:cs="仿宋_GB2312"/>
          <w:sz w:val="32"/>
          <w:szCs w:val="32"/>
        </w:rPr>
      </w:pPr>
      <w:r>
        <w:rPr>
          <w:rFonts w:hint="default" w:ascii="仿宋_GB2312" w:hAnsi="仿宋_GB2312" w:eastAsia="仿宋_GB2312" w:cs="仿宋_GB2312"/>
          <w:b/>
          <w:bCs/>
          <w:sz w:val="32"/>
          <w:szCs w:val="32"/>
          <w:lang w:eastAsia="zh-CN"/>
        </w:rPr>
        <w:t>第</w:t>
      </w:r>
      <w:r>
        <w:rPr>
          <w:rFonts w:hint="default" w:ascii="仿宋_GB2312" w:hAnsi="仿宋_GB2312" w:eastAsia="仿宋_GB2312" w:cs="仿宋_GB2312"/>
          <w:b/>
          <w:bCs/>
          <w:sz w:val="32"/>
          <w:szCs w:val="32"/>
          <w:lang w:eastAsia="zh-CN"/>
        </w:rPr>
        <w:t>二</w:t>
      </w:r>
      <w:r>
        <w:rPr>
          <w:rFonts w:hint="default" w:ascii="仿宋_GB2312" w:hAnsi="仿宋_GB2312" w:eastAsia="仿宋_GB2312" w:cs="仿宋_GB2312"/>
          <w:b/>
          <w:bCs/>
          <w:sz w:val="32"/>
          <w:szCs w:val="32"/>
          <w:lang w:eastAsia="zh-CN"/>
        </w:rPr>
        <w:t>条</w:t>
      </w:r>
      <w:r>
        <w:rPr>
          <w:rFonts w:hint="default"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val="en-US" w:eastAsia="zh-CN"/>
        </w:rPr>
        <w:t>本办法适用于集团公司本级及其所属各级全资、控股、实际控制企业（以下统称企业）。</w:t>
      </w:r>
    </w:p>
    <w:p>
      <w:pPr>
        <w:spacing w:line="560" w:lineRule="exact"/>
        <w:ind w:left="0" w:leftChars="0" w:firstLine="642" w:firstLineChars="200"/>
        <w:rPr>
          <w:rFonts w:hint="eastAsia" w:ascii="仿宋_GB2312" w:hAnsi="仿宋_GB2312" w:eastAsia="仿宋_GB2312" w:cs="仿宋_GB2312"/>
          <w:sz w:val="32"/>
          <w:szCs w:val="32"/>
        </w:rPr>
      </w:pPr>
      <w:r>
        <w:rPr>
          <w:rFonts w:hint="default" w:ascii="楷体_GB2312" w:hAnsi="楷体_GB2312" w:eastAsia="楷体_GB2312" w:cs="楷体_GB2312"/>
          <w:b/>
          <w:bCs/>
          <w:sz w:val="32"/>
          <w:szCs w:val="32"/>
          <w:lang w:eastAsia="zh-CN"/>
        </w:rPr>
        <w:t>第</w:t>
      </w:r>
      <w:r>
        <w:rPr>
          <w:rFonts w:hint="default" w:ascii="楷体_GB2312" w:hAnsi="楷体_GB2312" w:eastAsia="楷体_GB2312" w:cs="楷体_GB2312"/>
          <w:b/>
          <w:bCs/>
          <w:sz w:val="32"/>
          <w:szCs w:val="32"/>
          <w:lang w:eastAsia="zh-CN"/>
        </w:rPr>
        <w:t>三</w:t>
      </w:r>
      <w:r>
        <w:rPr>
          <w:rFonts w:hint="default" w:ascii="楷体_GB2312" w:hAnsi="楷体_GB2312" w:eastAsia="楷体_GB2312" w:cs="楷体_GB2312"/>
          <w:b/>
          <w:bCs/>
          <w:sz w:val="32"/>
          <w:szCs w:val="32"/>
          <w:lang w:eastAsia="zh-CN"/>
        </w:rPr>
        <w:t>条</w:t>
      </w:r>
      <w:r>
        <w:rPr>
          <w:rFonts w:hint="default"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val="en-US" w:eastAsia="zh-CN"/>
        </w:rPr>
        <w:t>本办法所称专业房产是指经市国资委认定，由系统国有企业根据本企业功能定位和发展战略用于自营，且业态统一设计与规划的商业综合体、专业市场、产业园区、物流园区、长租公寓等房产。</w:t>
      </w:r>
    </w:p>
    <w:p>
      <w:pPr>
        <w:spacing w:line="560" w:lineRule="exact"/>
        <w:ind w:left="0" w:leftChars="0" w:firstLine="642" w:firstLineChars="200"/>
        <w:rPr>
          <w:rFonts w:hint="eastAsia" w:ascii="仿宋_GB2312" w:hAnsi="仿宋_GB2312" w:eastAsia="仿宋_GB2312" w:cs="仿宋_GB2312"/>
          <w:sz w:val="32"/>
          <w:szCs w:val="32"/>
        </w:rPr>
      </w:pPr>
      <w:r>
        <w:rPr>
          <w:rFonts w:hint="default" w:ascii="楷体_GB2312" w:hAnsi="楷体_GB2312" w:eastAsia="楷体_GB2312" w:cs="楷体_GB2312"/>
          <w:b/>
          <w:bCs/>
          <w:sz w:val="32"/>
          <w:szCs w:val="32"/>
          <w:lang w:eastAsia="zh-CN"/>
        </w:rPr>
        <w:t>第</w:t>
      </w:r>
      <w:r>
        <w:rPr>
          <w:rFonts w:hint="default" w:ascii="楷体_GB2312" w:hAnsi="楷体_GB2312" w:eastAsia="楷体_GB2312" w:cs="楷体_GB2312"/>
          <w:b/>
          <w:bCs/>
          <w:sz w:val="32"/>
          <w:szCs w:val="32"/>
          <w:lang w:eastAsia="zh-CN"/>
        </w:rPr>
        <w:t>四</w:t>
      </w:r>
      <w:r>
        <w:rPr>
          <w:rFonts w:hint="default" w:ascii="楷体_GB2312" w:hAnsi="楷体_GB2312" w:eastAsia="楷体_GB2312" w:cs="楷体_GB2312"/>
          <w:b/>
          <w:bCs/>
          <w:sz w:val="32"/>
          <w:szCs w:val="32"/>
          <w:lang w:eastAsia="zh-CN"/>
        </w:rPr>
        <w:t>条</w:t>
      </w:r>
      <w:r>
        <w:rPr>
          <w:rFonts w:hint="default"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val="en-US" w:eastAsia="zh-CN"/>
        </w:rPr>
        <w:t>企业在专业房产经营过程中应遵守国家法律法规和相关规定，遵循集体决策、公开竞争、程序规范、管理科学的原则，接受社会各界的监督。</w:t>
      </w:r>
    </w:p>
    <w:p>
      <w:pPr>
        <w:keepNext w:val="0"/>
        <w:keepLines w:val="0"/>
        <w:widowControl w:val="0"/>
        <w:suppressLineNumbers w:val="0"/>
        <w:autoSpaceDE w:val="0"/>
        <w:autoSpaceDN/>
        <w:spacing w:before="0" w:beforeAutospacing="0" w:after="0" w:afterAutospacing="0" w:line="560" w:lineRule="exact"/>
        <w:ind w:left="0" w:right="0"/>
        <w:jc w:val="both"/>
        <w:rPr>
          <w:rFonts w:hint="eastAsia" w:ascii="Times New Roman" w:hAnsi="Times New Roman" w:eastAsia="仿宋_GB2312" w:cs="Times New Roman"/>
          <w:kern w:val="2"/>
          <w:sz w:val="32"/>
          <w:szCs w:val="32"/>
        </w:rPr>
      </w:pPr>
      <w:r>
        <w:rPr>
          <w:rFonts w:hint="eastAsia" w:ascii="Times New Roman" w:hAnsi="Times New Roman" w:eastAsia="仿宋_GB2312" w:cs="Times New Roman"/>
          <w:kern w:val="2"/>
          <w:sz w:val="32"/>
          <w:szCs w:val="32"/>
          <w:lang w:val="en-US" w:eastAsia="zh-CN" w:bidi="ar"/>
        </w:rPr>
        <w:t xml:space="preserve"> </w:t>
      </w:r>
    </w:p>
    <w:p>
      <w:pPr>
        <w:keepNext w:val="0"/>
        <w:keepLines w:val="0"/>
        <w:widowControl/>
        <w:suppressLineNumbers w:val="0"/>
        <w:autoSpaceDE w:val="0"/>
        <w:autoSpaceDN/>
        <w:spacing w:before="0" w:beforeAutospacing="0" w:after="0" w:afterAutospacing="0" w:line="560" w:lineRule="exact"/>
        <w:ind w:left="0" w:right="0"/>
        <w:jc w:val="center"/>
        <w:outlineLvl w:val="0"/>
        <w:rPr>
          <w:rFonts w:hint="default" w:ascii="Times New Roman" w:hAnsi="Times New Roman" w:eastAsia="黑体" w:cs="Times New Roman"/>
          <w:b w:val="0"/>
          <w:bCs w:val="0"/>
          <w:kern w:val="2"/>
          <w:sz w:val="32"/>
          <w:szCs w:val="32"/>
        </w:rPr>
      </w:pPr>
      <w:r>
        <w:rPr>
          <w:rFonts w:hint="default" w:ascii="黑体" w:hAnsi="宋体" w:eastAsia="黑体" w:cs="黑体"/>
          <w:b w:val="0"/>
          <w:bCs w:val="0"/>
          <w:kern w:val="2"/>
          <w:sz w:val="32"/>
          <w:szCs w:val="32"/>
          <w:lang w:val="en-US" w:eastAsia="zh-CN" w:bidi="ar"/>
        </w:rPr>
        <w:t>第二章</w:t>
      </w:r>
      <w:r>
        <w:rPr>
          <w:rFonts w:hint="default" w:ascii="Times New Roman" w:hAnsi="Times New Roman" w:eastAsia="黑体" w:cs="Times New Roman"/>
          <w:b w:val="0"/>
          <w:bCs w:val="0"/>
          <w:kern w:val="2"/>
          <w:sz w:val="32"/>
          <w:szCs w:val="32"/>
          <w:lang w:val="en-US" w:eastAsia="zh-CN" w:bidi="ar"/>
        </w:rPr>
        <w:t xml:space="preserve"> </w:t>
      </w:r>
      <w:r>
        <w:rPr>
          <w:rFonts w:hint="default" w:ascii="黑体" w:hAnsi="宋体" w:eastAsia="黑体" w:cs="黑体"/>
          <w:b w:val="0"/>
          <w:bCs w:val="0"/>
          <w:kern w:val="2"/>
          <w:sz w:val="32"/>
          <w:szCs w:val="32"/>
          <w:lang w:val="en-US" w:eastAsia="zh-CN" w:bidi="ar"/>
        </w:rPr>
        <w:t>职责分工</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2"/>
          <w:sz w:val="32"/>
          <w:szCs w:val="32"/>
        </w:rPr>
      </w:pPr>
      <w:r>
        <w:rPr>
          <w:rFonts w:hint="default" w:ascii="楷体_GB2312" w:hAnsi="楷体_GB2312" w:eastAsia="楷体_GB2312" w:cs="楷体_GB2312"/>
          <w:b/>
          <w:bCs/>
          <w:sz w:val="32"/>
          <w:szCs w:val="32"/>
          <w:lang w:val="en-US" w:eastAsia="zh-CN"/>
        </w:rPr>
        <w:t>第五条</w:t>
      </w:r>
      <w:r>
        <w:rPr>
          <w:rFonts w:hint="default" w:ascii="Times New Roman" w:hAnsi="Times New Roman" w:eastAsia="仿宋_GB2312" w:cs="Times New Roman"/>
          <w:kern w:val="0"/>
          <w:sz w:val="32"/>
          <w:szCs w:val="32"/>
          <w:lang w:val="en-US" w:eastAsia="zh-CN" w:bidi="ar"/>
        </w:rPr>
        <w:t xml:space="preserve"> </w:t>
      </w:r>
      <w:r>
        <w:rPr>
          <w:rFonts w:hint="eastAsia" w:ascii="仿宋_GB2312" w:hAnsi="Times New Roman" w:eastAsia="仿宋_GB2312" w:cs="仿宋_GB2312"/>
          <w:kern w:val="0"/>
          <w:sz w:val="32"/>
          <w:szCs w:val="32"/>
          <w:lang w:val="en-US" w:eastAsia="zh-CN" w:bidi="ar"/>
        </w:rPr>
        <w:t>集团公司资产管理部负责建立健全专业房产管理办法，指导督促企业制定具体管理制度，监督检查制度执行情况，会同相关部门对企业在专业房产管理过程中造成国有损失或其他严重不良后果的违规行为进行责任追究。</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0"/>
          <w:sz w:val="32"/>
          <w:szCs w:val="32"/>
        </w:rPr>
      </w:pPr>
      <w:r>
        <w:rPr>
          <w:rFonts w:hint="default" w:ascii="楷体_GB2312" w:hAnsi="楷体_GB2312" w:eastAsia="楷体_GB2312" w:cs="楷体_GB2312"/>
          <w:b/>
          <w:bCs/>
          <w:sz w:val="32"/>
          <w:szCs w:val="32"/>
          <w:lang w:val="en-US" w:eastAsia="zh-CN"/>
        </w:rPr>
        <w:t>第六条</w:t>
      </w:r>
      <w:r>
        <w:rPr>
          <w:rFonts w:hint="default" w:ascii="Times New Roman" w:hAnsi="Times New Roman" w:eastAsia="仿宋_GB2312" w:cs="Times New Roman"/>
          <w:kern w:val="0"/>
          <w:sz w:val="32"/>
          <w:szCs w:val="32"/>
          <w:lang w:val="en-US" w:eastAsia="zh-CN" w:bidi="ar"/>
        </w:rPr>
        <w:t xml:space="preserve"> </w:t>
      </w:r>
      <w:r>
        <w:rPr>
          <w:rFonts w:hint="eastAsia" w:ascii="仿宋_GB2312" w:hAnsi="Times New Roman" w:eastAsia="仿宋_GB2312" w:cs="仿宋_GB2312"/>
          <w:kern w:val="0"/>
          <w:sz w:val="32"/>
          <w:szCs w:val="32"/>
          <w:lang w:val="en-US" w:eastAsia="zh-CN" w:bidi="ar"/>
        </w:rPr>
        <w:t>企业作为专业房产经营管理的责任主体，负责制定专业房产经营管理实施细则，明确责任部门、管理权限、决策程序等，建立</w:t>
      </w:r>
      <w:r>
        <w:rPr>
          <w:rFonts w:hint="default" w:ascii="Times New Roman" w:hAnsi="Times New Roman" w:eastAsia="仿宋_GB2312" w:cs="Times New Roman"/>
          <w:kern w:val="0"/>
          <w:sz w:val="32"/>
          <w:szCs w:val="32"/>
          <w:lang w:val="en-US" w:eastAsia="zh-CN" w:bidi="ar"/>
        </w:rPr>
        <w:t>“</w:t>
      </w:r>
      <w:r>
        <w:rPr>
          <w:rFonts w:hint="eastAsia" w:ascii="仿宋_GB2312" w:hAnsi="Times New Roman" w:eastAsia="仿宋_GB2312" w:cs="仿宋_GB2312"/>
          <w:kern w:val="0"/>
          <w:sz w:val="32"/>
          <w:szCs w:val="32"/>
          <w:lang w:val="en-US" w:eastAsia="zh-CN" w:bidi="ar"/>
        </w:rPr>
        <w:t>制定方案、决策审批、实施招商、日常管理、风险防控、监督检查、责任追究</w:t>
      </w:r>
      <w:r>
        <w:rPr>
          <w:rFonts w:hint="default" w:ascii="Times New Roman" w:hAnsi="Times New Roman" w:eastAsia="仿宋_GB2312" w:cs="Times New Roman"/>
          <w:kern w:val="0"/>
          <w:sz w:val="32"/>
          <w:szCs w:val="32"/>
          <w:lang w:val="en-US" w:eastAsia="zh-CN" w:bidi="ar"/>
        </w:rPr>
        <w:t>”</w:t>
      </w:r>
      <w:r>
        <w:rPr>
          <w:rFonts w:hint="eastAsia" w:ascii="仿宋_GB2312" w:hAnsi="Times New Roman" w:eastAsia="仿宋_GB2312" w:cs="仿宋_GB2312"/>
          <w:kern w:val="0"/>
          <w:sz w:val="32"/>
          <w:szCs w:val="32"/>
          <w:lang w:val="en-US" w:eastAsia="zh-CN" w:bidi="ar"/>
        </w:rPr>
        <w:t>的闭环管理流程，做到事前、事中、事后全过程监管。</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b/>
          <w:bCs/>
          <w:kern w:val="2"/>
          <w:sz w:val="32"/>
          <w:szCs w:val="32"/>
        </w:rPr>
      </w:pPr>
      <w:r>
        <w:rPr>
          <w:rFonts w:hint="default" w:ascii="Times New Roman" w:hAnsi="Times New Roman" w:eastAsia="黑体" w:cs="Times New Roman"/>
          <w:kern w:val="0"/>
          <w:sz w:val="32"/>
          <w:szCs w:val="32"/>
          <w:lang w:val="en-US" w:eastAsia="zh-CN" w:bidi="ar"/>
        </w:rPr>
        <w:t xml:space="preserve"> </w:t>
      </w:r>
    </w:p>
    <w:p>
      <w:pPr>
        <w:keepNext w:val="0"/>
        <w:keepLines w:val="0"/>
        <w:widowControl/>
        <w:suppressLineNumbers w:val="0"/>
        <w:autoSpaceDE w:val="0"/>
        <w:autoSpaceDN/>
        <w:spacing w:before="0" w:beforeAutospacing="0" w:after="0" w:afterAutospacing="0" w:line="560" w:lineRule="exact"/>
        <w:ind w:left="0" w:right="0"/>
        <w:jc w:val="center"/>
        <w:outlineLvl w:val="0"/>
        <w:rPr>
          <w:rFonts w:hint="default" w:ascii="Times New Roman" w:hAnsi="Times New Roman" w:eastAsia="黑体" w:cs="Times New Roman"/>
          <w:b w:val="0"/>
          <w:bCs w:val="0"/>
          <w:kern w:val="44"/>
          <w:sz w:val="32"/>
          <w:szCs w:val="32"/>
        </w:rPr>
      </w:pPr>
      <w:r>
        <w:rPr>
          <w:rFonts w:hint="default" w:ascii="黑体" w:hAnsi="宋体" w:eastAsia="黑体" w:cs="黑体"/>
          <w:b w:val="0"/>
          <w:bCs w:val="0"/>
          <w:kern w:val="44"/>
          <w:sz w:val="32"/>
          <w:szCs w:val="32"/>
          <w:lang w:val="en-US" w:eastAsia="zh-CN" w:bidi="ar"/>
        </w:rPr>
        <w:t>第三章</w:t>
      </w:r>
      <w:r>
        <w:rPr>
          <w:rFonts w:hint="default" w:ascii="Times New Roman" w:hAnsi="Times New Roman" w:eastAsia="黑体" w:cs="Times New Roman"/>
          <w:b w:val="0"/>
          <w:bCs w:val="0"/>
          <w:kern w:val="44"/>
          <w:sz w:val="32"/>
          <w:szCs w:val="32"/>
          <w:lang w:val="en-US" w:eastAsia="zh-CN" w:bidi="ar"/>
        </w:rPr>
        <w:t xml:space="preserve"> </w:t>
      </w:r>
      <w:r>
        <w:rPr>
          <w:rFonts w:hint="default" w:ascii="黑体" w:hAnsi="宋体" w:eastAsia="黑体" w:cs="黑体"/>
          <w:b w:val="0"/>
          <w:bCs w:val="0"/>
          <w:kern w:val="44"/>
          <w:sz w:val="32"/>
          <w:szCs w:val="32"/>
          <w:lang w:val="en-US" w:eastAsia="zh-CN" w:bidi="ar"/>
        </w:rPr>
        <w:t>认定流程</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0"/>
          <w:sz w:val="32"/>
          <w:szCs w:val="32"/>
        </w:rPr>
      </w:pPr>
      <w:r>
        <w:rPr>
          <w:rFonts w:hint="default" w:ascii="楷体_GB2312" w:hAnsi="楷体_GB2312" w:eastAsia="楷体_GB2312" w:cs="楷体_GB2312"/>
          <w:b/>
          <w:bCs/>
          <w:sz w:val="32"/>
          <w:szCs w:val="32"/>
          <w:lang w:val="en-US" w:eastAsia="zh-CN"/>
        </w:rPr>
        <w:t>第七条</w:t>
      </w:r>
      <w:r>
        <w:rPr>
          <w:rFonts w:hint="default" w:ascii="Times New Roman" w:hAnsi="Times New Roman" w:eastAsia="仿宋_GB2312" w:cs="Times New Roman"/>
          <w:kern w:val="0"/>
          <w:sz w:val="32"/>
          <w:szCs w:val="32"/>
          <w:lang w:val="en-US" w:eastAsia="zh-CN" w:bidi="ar"/>
        </w:rPr>
        <w:t xml:space="preserve"> </w:t>
      </w:r>
      <w:r>
        <w:rPr>
          <w:rFonts w:hint="eastAsia" w:ascii="仿宋_GB2312" w:hAnsi="Times New Roman" w:eastAsia="仿宋_GB2312" w:cs="仿宋_GB2312"/>
          <w:kern w:val="0"/>
          <w:sz w:val="32"/>
          <w:szCs w:val="32"/>
          <w:lang w:val="en-US" w:eastAsia="zh-CN" w:bidi="ar"/>
        </w:rPr>
        <w:t>专业房产认定事项经企业董事会决策后，逐级上报集团公司董事会审议决策。审议通过的，经集团公司主要负责人签字并加盖公章之后，报市国资委认定。</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0"/>
          <w:sz w:val="32"/>
          <w:szCs w:val="32"/>
        </w:rPr>
      </w:pPr>
      <w:r>
        <w:rPr>
          <w:rFonts w:hint="default" w:ascii="楷体_GB2312" w:hAnsi="楷体_GB2312" w:eastAsia="楷体_GB2312" w:cs="楷体_GB2312"/>
          <w:b/>
          <w:bCs/>
          <w:sz w:val="32"/>
          <w:szCs w:val="32"/>
          <w:lang w:val="en-US" w:eastAsia="zh-CN"/>
        </w:rPr>
        <w:t>第八条</w:t>
      </w:r>
      <w:r>
        <w:rPr>
          <w:rFonts w:hint="default" w:ascii="Times New Roman" w:hAnsi="Times New Roman" w:eastAsia="仿宋_GB2312" w:cs="Times New Roman"/>
          <w:kern w:val="0"/>
          <w:sz w:val="32"/>
          <w:szCs w:val="32"/>
          <w:lang w:val="en-US" w:eastAsia="zh-CN" w:bidi="ar"/>
        </w:rPr>
        <w:t xml:space="preserve"> </w:t>
      </w:r>
      <w:r>
        <w:rPr>
          <w:rFonts w:hint="eastAsia" w:ascii="仿宋_GB2312" w:hAnsi="Times New Roman" w:eastAsia="仿宋_GB2312" w:cs="仿宋_GB2312"/>
          <w:kern w:val="0"/>
          <w:sz w:val="32"/>
          <w:szCs w:val="32"/>
          <w:lang w:val="en-US" w:eastAsia="zh-CN" w:bidi="ar"/>
        </w:rPr>
        <w:t>报送材料：</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kern w:val="0"/>
          <w:sz w:val="32"/>
          <w:szCs w:val="32"/>
        </w:rPr>
      </w:pPr>
      <w:r>
        <w:rPr>
          <w:rFonts w:hint="default" w:ascii="仿宋_GB2312" w:eastAsia="仿宋_GB2312" w:cs="仿宋_GB2312"/>
          <w:kern w:val="0"/>
          <w:sz w:val="32"/>
          <w:szCs w:val="32"/>
          <w:lang w:eastAsia="zh-CN" w:bidi="ar"/>
        </w:rPr>
        <w:t>1.</w:t>
      </w:r>
      <w:r>
        <w:rPr>
          <w:rFonts w:hint="eastAsia" w:ascii="仿宋_GB2312" w:hAnsi="Times New Roman" w:eastAsia="仿宋_GB2312" w:cs="仿宋_GB2312"/>
          <w:kern w:val="0"/>
          <w:sz w:val="32"/>
          <w:szCs w:val="32"/>
          <w:lang w:val="en-US" w:eastAsia="zh-CN" w:bidi="ar"/>
        </w:rPr>
        <w:t>专业房产认定表；</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kern w:val="0"/>
          <w:sz w:val="32"/>
          <w:szCs w:val="32"/>
        </w:rPr>
      </w:pPr>
      <w:r>
        <w:rPr>
          <w:rFonts w:hint="default" w:ascii="仿宋_GB2312" w:eastAsia="仿宋_GB2312" w:cs="仿宋_GB2312"/>
          <w:kern w:val="0"/>
          <w:sz w:val="32"/>
          <w:szCs w:val="32"/>
          <w:lang w:eastAsia="zh-CN" w:bidi="ar"/>
        </w:rPr>
        <w:t>2.</w:t>
      </w:r>
      <w:r>
        <w:rPr>
          <w:rFonts w:hint="eastAsia" w:ascii="仿宋_GB2312" w:hAnsi="Times New Roman" w:eastAsia="仿宋_GB2312" w:cs="仿宋_GB2312"/>
          <w:kern w:val="0"/>
          <w:sz w:val="32"/>
          <w:szCs w:val="32"/>
          <w:lang w:val="en-US" w:eastAsia="zh-CN" w:bidi="ar"/>
        </w:rPr>
        <w:t>认定报告（包括但不限于项目基本情况及发展规划、运营单位及专业团队基本情况等）；</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kern w:val="0"/>
          <w:sz w:val="32"/>
          <w:szCs w:val="32"/>
        </w:rPr>
      </w:pPr>
      <w:r>
        <w:rPr>
          <w:rFonts w:hint="default" w:ascii="仿宋_GB2312" w:eastAsia="仿宋_GB2312" w:cs="仿宋_GB2312"/>
          <w:kern w:val="0"/>
          <w:sz w:val="32"/>
          <w:szCs w:val="32"/>
          <w:lang w:eastAsia="zh-CN" w:bidi="ar"/>
        </w:rPr>
        <w:t>3.</w:t>
      </w:r>
      <w:r>
        <w:rPr>
          <w:rFonts w:hint="eastAsia" w:ascii="仿宋_GB2312" w:hAnsi="Times New Roman" w:eastAsia="仿宋_GB2312" w:cs="仿宋_GB2312"/>
          <w:kern w:val="0"/>
          <w:sz w:val="32"/>
          <w:szCs w:val="32"/>
          <w:lang w:val="en-US" w:eastAsia="zh-CN" w:bidi="ar"/>
        </w:rPr>
        <w:t>各级系统国有企业董事会决议；</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kern w:val="0"/>
          <w:sz w:val="32"/>
          <w:szCs w:val="32"/>
        </w:rPr>
      </w:pPr>
      <w:r>
        <w:rPr>
          <w:rFonts w:hint="default" w:ascii="仿宋_GB2312" w:eastAsia="仿宋_GB2312" w:cs="仿宋_GB2312"/>
          <w:kern w:val="0"/>
          <w:sz w:val="32"/>
          <w:szCs w:val="32"/>
          <w:lang w:eastAsia="zh-CN" w:bidi="ar"/>
        </w:rPr>
        <w:t>4.</w:t>
      </w:r>
      <w:r>
        <w:rPr>
          <w:rFonts w:hint="eastAsia" w:ascii="仿宋_GB2312" w:hAnsi="Times New Roman" w:eastAsia="仿宋_GB2312" w:cs="仿宋_GB2312"/>
          <w:kern w:val="0"/>
          <w:sz w:val="32"/>
          <w:szCs w:val="32"/>
          <w:lang w:val="en-US" w:eastAsia="zh-CN" w:bidi="ar"/>
        </w:rPr>
        <w:t>项目整体招商运营方案；</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kern w:val="0"/>
          <w:sz w:val="32"/>
          <w:szCs w:val="32"/>
        </w:rPr>
      </w:pPr>
      <w:r>
        <w:rPr>
          <w:rFonts w:hint="default" w:ascii="仿宋_GB2312" w:eastAsia="仿宋_GB2312" w:cs="仿宋_GB2312"/>
          <w:kern w:val="0"/>
          <w:sz w:val="32"/>
          <w:szCs w:val="32"/>
          <w:lang w:eastAsia="zh-CN" w:bidi="ar"/>
        </w:rPr>
        <w:t>5.</w:t>
      </w:r>
      <w:r>
        <w:rPr>
          <w:rFonts w:hint="eastAsia" w:ascii="仿宋_GB2312" w:hAnsi="Times New Roman" w:eastAsia="仿宋_GB2312" w:cs="仿宋_GB2312"/>
          <w:kern w:val="0"/>
          <w:sz w:val="32"/>
          <w:szCs w:val="32"/>
          <w:lang w:val="en-US" w:eastAsia="zh-CN" w:bidi="ar"/>
        </w:rPr>
        <w:t>运营单位上年度审计报告；</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kern w:val="0"/>
          <w:sz w:val="32"/>
          <w:szCs w:val="32"/>
        </w:rPr>
      </w:pPr>
      <w:r>
        <w:rPr>
          <w:rFonts w:hint="default" w:ascii="仿宋_GB2312" w:eastAsia="仿宋_GB2312" w:cs="仿宋_GB2312"/>
          <w:kern w:val="0"/>
          <w:sz w:val="32"/>
          <w:szCs w:val="32"/>
          <w:lang w:eastAsia="zh-CN" w:bidi="ar"/>
        </w:rPr>
        <w:t>6.</w:t>
      </w:r>
      <w:r>
        <w:rPr>
          <w:rFonts w:hint="eastAsia" w:ascii="仿宋_GB2312" w:hAnsi="Times New Roman" w:eastAsia="仿宋_GB2312" w:cs="仿宋_GB2312"/>
          <w:kern w:val="0"/>
          <w:sz w:val="32"/>
          <w:szCs w:val="32"/>
          <w:lang w:val="en-US" w:eastAsia="zh-CN" w:bidi="ar"/>
        </w:rPr>
        <w:t>运营单位专业房产经营管理制度；</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kern w:val="0"/>
          <w:sz w:val="32"/>
          <w:szCs w:val="32"/>
        </w:rPr>
      </w:pPr>
      <w:r>
        <w:rPr>
          <w:rFonts w:hint="default" w:ascii="仿宋_GB2312" w:eastAsia="仿宋_GB2312" w:cs="仿宋_GB2312"/>
          <w:kern w:val="0"/>
          <w:sz w:val="32"/>
          <w:szCs w:val="32"/>
          <w:lang w:eastAsia="zh-CN" w:bidi="ar"/>
        </w:rPr>
        <w:t>7.</w:t>
      </w:r>
      <w:r>
        <w:rPr>
          <w:rFonts w:hint="eastAsia" w:ascii="仿宋_GB2312" w:hAnsi="Times New Roman" w:eastAsia="仿宋_GB2312" w:cs="仿宋_GB2312"/>
          <w:kern w:val="0"/>
          <w:sz w:val="32"/>
          <w:szCs w:val="32"/>
          <w:lang w:val="en-US" w:eastAsia="zh-CN" w:bidi="ar"/>
        </w:rPr>
        <w:t>有关政府部门认定文件（如有）；</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kern w:val="0"/>
          <w:sz w:val="32"/>
          <w:szCs w:val="32"/>
        </w:rPr>
      </w:pPr>
      <w:r>
        <w:rPr>
          <w:rFonts w:hint="default" w:ascii="仿宋_GB2312" w:eastAsia="仿宋_GB2312" w:cs="仿宋_GB2312"/>
          <w:kern w:val="0"/>
          <w:sz w:val="32"/>
          <w:szCs w:val="32"/>
          <w:lang w:eastAsia="zh-CN" w:bidi="ar"/>
        </w:rPr>
        <w:t>8.</w:t>
      </w:r>
      <w:r>
        <w:rPr>
          <w:rFonts w:hint="eastAsia" w:ascii="仿宋_GB2312" w:hAnsi="Times New Roman" w:eastAsia="仿宋_GB2312" w:cs="仿宋_GB2312"/>
          <w:kern w:val="0"/>
          <w:sz w:val="32"/>
          <w:szCs w:val="32"/>
          <w:lang w:val="en-US" w:eastAsia="zh-CN" w:bidi="ar"/>
        </w:rPr>
        <w:t>其他必要材料。</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eastAsia" w:ascii="仿宋_GB2312" w:hAnsi="Times New Roman" w:eastAsia="仿宋_GB2312" w:cs="仿宋_GB2312"/>
          <w:spacing w:val="0"/>
          <w:kern w:val="2"/>
          <w:sz w:val="32"/>
          <w:szCs w:val="32"/>
          <w:lang w:val="en-US" w:eastAsia="zh-CN" w:bidi="ar"/>
        </w:rPr>
      </w:pPr>
      <w:r>
        <w:rPr>
          <w:rFonts w:hint="default" w:ascii="楷体_GB2312" w:hAnsi="楷体_GB2312" w:eastAsia="楷体_GB2312" w:cs="楷体_GB2312"/>
          <w:b/>
          <w:bCs/>
          <w:sz w:val="32"/>
          <w:szCs w:val="32"/>
          <w:lang w:val="en-US" w:eastAsia="zh-CN"/>
        </w:rPr>
        <w:t>第九条</w:t>
      </w:r>
      <w:r>
        <w:rPr>
          <w:rFonts w:hint="default" w:ascii="Times New Roman" w:hAnsi="Times New Roman" w:eastAsia="黑体"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根据经认定的专业房产类型开展招商。若后期结合运营实际拟对房产功能定位、业态规划进行重大调整，不符合原已认定的专业房产定位的，企业需重新开展认定程序。未重新认定前，企业应根据市国资委国有企业房产出租管理办法规范开展招商行为。</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仿宋_GB2312" w:hAnsi="Times New Roman" w:eastAsia="仿宋_GB2312" w:cs="仿宋_GB2312"/>
          <w:spacing w:val="0"/>
          <w:kern w:val="2"/>
          <w:sz w:val="32"/>
          <w:szCs w:val="32"/>
          <w:lang w:val="en-US" w:eastAsia="zh-CN" w:bidi="ar"/>
        </w:rPr>
      </w:pPr>
    </w:p>
    <w:p>
      <w:pPr>
        <w:keepNext w:val="0"/>
        <w:keepLines w:val="0"/>
        <w:widowControl w:val="0"/>
        <w:suppressLineNumbers w:val="0"/>
        <w:autoSpaceDE w:val="0"/>
        <w:autoSpaceDN/>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第四章</w:t>
      </w:r>
      <w:r>
        <w:rPr>
          <w:rFonts w:hint="default" w:ascii="Times New Roman" w:hAnsi="Times New Roman" w:eastAsia="黑体" w:cs="Times New Roman"/>
          <w:kern w:val="2"/>
          <w:sz w:val="32"/>
          <w:szCs w:val="32"/>
          <w:lang w:val="en-US" w:eastAsia="zh-CN" w:bidi="ar"/>
        </w:rPr>
        <w:t xml:space="preserve"> </w:t>
      </w:r>
      <w:r>
        <w:rPr>
          <w:rFonts w:hint="default" w:ascii="黑体" w:hAnsi="宋体" w:eastAsia="黑体" w:cs="黑体"/>
          <w:kern w:val="2"/>
          <w:sz w:val="32"/>
          <w:szCs w:val="32"/>
          <w:lang w:val="en-US" w:eastAsia="zh-CN" w:bidi="ar"/>
        </w:rPr>
        <w:t>管理要求</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第十条</w:t>
      </w:r>
      <w:r>
        <w:rPr>
          <w:rFonts w:hint="default" w:ascii="Times New Roman" w:hAnsi="Times New Roman" w:eastAsia="仿宋"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企业应根据市场发展规律、行业发展特点等制定符合专业房产功能定位、政府政策导向的项目整体招商运营方案（简称</w:t>
      </w:r>
      <w:r>
        <w:rPr>
          <w:rFonts w:hint="default" w:ascii="Times New Roman" w:hAnsi="Times New Roman" w:eastAsia="仿宋_GB2312" w:cs="Times New Roman"/>
          <w:spacing w:val="0"/>
          <w:kern w:val="2"/>
          <w:sz w:val="32"/>
          <w:szCs w:val="32"/>
          <w:lang w:val="en-US" w:eastAsia="zh-CN" w:bidi="ar"/>
        </w:rPr>
        <w:t>“</w:t>
      </w:r>
      <w:r>
        <w:rPr>
          <w:rFonts w:hint="eastAsia" w:ascii="仿宋_GB2312" w:hAnsi="Times New Roman" w:eastAsia="仿宋_GB2312" w:cs="仿宋_GB2312"/>
          <w:spacing w:val="0"/>
          <w:kern w:val="2"/>
          <w:sz w:val="32"/>
          <w:szCs w:val="32"/>
          <w:lang w:val="en-US" w:eastAsia="zh-CN" w:bidi="ar"/>
        </w:rPr>
        <w:t>整体方案</w:t>
      </w:r>
      <w:r>
        <w:rPr>
          <w:rFonts w:hint="default" w:ascii="Times New Roman" w:hAnsi="Times New Roman" w:eastAsia="仿宋_GB2312" w:cs="Times New Roman"/>
          <w:spacing w:val="0"/>
          <w:kern w:val="2"/>
          <w:sz w:val="32"/>
          <w:szCs w:val="32"/>
          <w:lang w:val="en-US" w:eastAsia="zh-CN" w:bidi="ar"/>
        </w:rPr>
        <w:t>”</w:t>
      </w:r>
      <w:r>
        <w:rPr>
          <w:rFonts w:hint="eastAsia" w:ascii="仿宋_GB2312" w:hAnsi="Times New Roman" w:eastAsia="仿宋_GB2312" w:cs="仿宋_GB2312"/>
          <w:spacing w:val="0"/>
          <w:kern w:val="2"/>
          <w:sz w:val="32"/>
          <w:szCs w:val="32"/>
          <w:lang w:val="en-US" w:eastAsia="zh-CN" w:bidi="ar"/>
        </w:rPr>
        <w:t>）。整体方案主要包括专业房产的基本情况、业态规划、招商方式、定价依据等。整体方案作为申报专业房产认定的材料之一，与专业房产认定事项同步、逐级报集团公司董事会审议。</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第十一条</w:t>
      </w:r>
      <w:r>
        <w:rPr>
          <w:rFonts w:hint="default" w:ascii="Times New Roman" w:hAnsi="Times New Roman" w:eastAsia="仿宋"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企业应根据经审批的整体方案开展招商工作。针对</w:t>
      </w:r>
      <w:r>
        <w:rPr>
          <w:rFonts w:hint="eastAsia" w:ascii="仿宋_GB2312" w:hAnsi="Times New Roman" w:eastAsia="仿宋_GB2312" w:cs="仿宋_GB2312"/>
          <w:kern w:val="0"/>
          <w:sz w:val="32"/>
          <w:szCs w:val="32"/>
          <w:lang w:val="en-US" w:eastAsia="zh-CN" w:bidi="ar"/>
        </w:rPr>
        <w:t>商业综合体、专业市场、产业园区、物流园区、长租公寓</w:t>
      </w:r>
      <w:r>
        <w:rPr>
          <w:rFonts w:hint="eastAsia" w:ascii="仿宋_GB2312" w:hAnsi="Times New Roman" w:eastAsia="仿宋_GB2312" w:cs="仿宋_GB2312"/>
          <w:spacing w:val="0"/>
          <w:kern w:val="2"/>
          <w:sz w:val="32"/>
          <w:szCs w:val="32"/>
          <w:lang w:val="en-US" w:eastAsia="zh-CN" w:bidi="ar"/>
        </w:rPr>
        <w:t>等专业房产，企业还应针对拟引入的每一具体对象制定具体招商方案（简称</w:t>
      </w:r>
      <w:r>
        <w:rPr>
          <w:rFonts w:hint="default" w:ascii="Times New Roman" w:hAnsi="Times New Roman" w:eastAsia="仿宋_GB2312" w:cs="Times New Roman"/>
          <w:spacing w:val="0"/>
          <w:kern w:val="2"/>
          <w:sz w:val="32"/>
          <w:szCs w:val="32"/>
          <w:lang w:val="en-US" w:eastAsia="zh-CN" w:bidi="ar"/>
        </w:rPr>
        <w:t>“</w:t>
      </w:r>
      <w:r>
        <w:rPr>
          <w:rFonts w:hint="eastAsia" w:ascii="仿宋_GB2312" w:hAnsi="Times New Roman" w:eastAsia="仿宋_GB2312" w:cs="仿宋_GB2312"/>
          <w:spacing w:val="0"/>
          <w:kern w:val="2"/>
          <w:sz w:val="32"/>
          <w:szCs w:val="32"/>
          <w:lang w:val="en-US" w:eastAsia="zh-CN" w:bidi="ar"/>
        </w:rPr>
        <w:t>具体方案</w:t>
      </w:r>
      <w:r>
        <w:rPr>
          <w:rFonts w:hint="default" w:ascii="Times New Roman" w:hAnsi="Times New Roman" w:eastAsia="仿宋_GB2312" w:cs="Times New Roman"/>
          <w:spacing w:val="0"/>
          <w:kern w:val="2"/>
          <w:sz w:val="32"/>
          <w:szCs w:val="32"/>
          <w:lang w:val="en-US" w:eastAsia="zh-CN" w:bidi="ar"/>
        </w:rPr>
        <w:t>”</w:t>
      </w:r>
      <w:r>
        <w:rPr>
          <w:rFonts w:hint="eastAsia" w:ascii="仿宋_GB2312" w:hAnsi="Times New Roman" w:eastAsia="仿宋_GB2312" w:cs="仿宋_GB2312"/>
          <w:spacing w:val="0"/>
          <w:kern w:val="2"/>
          <w:sz w:val="32"/>
          <w:szCs w:val="32"/>
          <w:lang w:val="en-US" w:eastAsia="zh-CN" w:bidi="ar"/>
        </w:rPr>
        <w:t>）。具体方案应符合整体方案的总体要求，根据企业内部决策流程报经审批后实施。</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第十二条</w:t>
      </w:r>
      <w:r>
        <w:rPr>
          <w:rFonts w:hint="default" w:ascii="Times New Roman" w:hAnsi="Times New Roman" w:eastAsia="仿宋_GB2312"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除发生第九条所列情形需报市国资委重新认定外，项目整体方案发生变化时，企业应逐级报集团公司董事会审议。具体方案发生变化或到期后，应重新制定招商方案，根据企业内部决策流程报经审批后实施。</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第十三条</w:t>
      </w:r>
      <w:r>
        <w:rPr>
          <w:rFonts w:hint="default" w:ascii="Times New Roman" w:hAnsi="Times New Roman" w:eastAsia="黑体"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企业应遵循</w:t>
      </w:r>
      <w:r>
        <w:rPr>
          <w:rFonts w:hint="default" w:ascii="Times New Roman" w:hAnsi="Times New Roman" w:eastAsia="仿宋_GB2312" w:cs="Times New Roman"/>
          <w:kern w:val="0"/>
          <w:sz w:val="32"/>
          <w:szCs w:val="32"/>
          <w:lang w:val="en-US" w:eastAsia="zh-CN" w:bidi="ar"/>
        </w:rPr>
        <w:t>“</w:t>
      </w:r>
      <w:r>
        <w:rPr>
          <w:rFonts w:hint="eastAsia" w:ascii="仿宋_GB2312" w:hAnsi="Times New Roman" w:eastAsia="仿宋_GB2312" w:cs="仿宋_GB2312"/>
          <w:spacing w:val="0"/>
          <w:kern w:val="2"/>
          <w:sz w:val="32"/>
          <w:szCs w:val="32"/>
          <w:lang w:val="en-US" w:eastAsia="zh-CN" w:bidi="ar"/>
        </w:rPr>
        <w:t>公开、公平、公正</w:t>
      </w:r>
      <w:r>
        <w:rPr>
          <w:rFonts w:hint="default" w:ascii="Times New Roman" w:hAnsi="Times New Roman" w:eastAsia="仿宋_GB2312" w:cs="Times New Roman"/>
          <w:kern w:val="0"/>
          <w:sz w:val="32"/>
          <w:szCs w:val="32"/>
          <w:lang w:val="en-US" w:eastAsia="zh-CN" w:bidi="ar"/>
        </w:rPr>
        <w:t>”</w:t>
      </w:r>
      <w:r>
        <w:rPr>
          <w:rFonts w:hint="eastAsia" w:ascii="仿宋_GB2312" w:hAnsi="Times New Roman" w:eastAsia="仿宋_GB2312" w:cs="仿宋_GB2312"/>
          <w:spacing w:val="0"/>
          <w:kern w:val="2"/>
          <w:sz w:val="32"/>
          <w:szCs w:val="32"/>
          <w:lang w:val="en-US" w:eastAsia="zh-CN" w:bidi="ar"/>
        </w:rPr>
        <w:t>的原则，多渠道发布专业房产招商信息，除在集团房产运营平台发布招租信息外，鼓励企业在市级及以上的新闻媒体、信息平台发布招租信息，扩大信息受众面，促进市场公平充分竞争。</w:t>
      </w:r>
    </w:p>
    <w:p>
      <w:pPr>
        <w:keepNext w:val="0"/>
        <w:keepLines w:val="0"/>
        <w:widowControl w:val="0"/>
        <w:suppressLineNumbers w:val="0"/>
        <w:autoSpaceDE w:val="0"/>
        <w:autoSpaceDN/>
        <w:spacing w:before="0" w:beforeAutospacing="0" w:after="0" w:afterAutospacing="0" w:line="560" w:lineRule="exact"/>
        <w:ind w:left="30" w:right="19" w:firstLine="650" w:firstLineChars="0"/>
        <w:jc w:val="both"/>
        <w:rPr>
          <w:rFonts w:hint="default" w:ascii="Times New Roman" w:hAnsi="Times New Roman" w:eastAsia="黑体" w:cs="Times New Roman"/>
          <w:spacing w:val="0"/>
          <w:kern w:val="2"/>
          <w:sz w:val="32"/>
          <w:szCs w:val="32"/>
        </w:rPr>
      </w:pPr>
      <w:r>
        <w:rPr>
          <w:rFonts w:hint="default" w:ascii="楷体_GB2312" w:hAnsi="楷体_GB2312" w:eastAsia="楷体_GB2312" w:cs="楷体_GB2312"/>
          <w:b/>
          <w:bCs/>
          <w:sz w:val="32"/>
          <w:szCs w:val="32"/>
          <w:lang w:val="en-US" w:eastAsia="zh-CN"/>
        </w:rPr>
        <w:t>第十四条</w:t>
      </w:r>
      <w:r>
        <w:rPr>
          <w:rFonts w:hint="default" w:ascii="Times New Roman" w:hAnsi="Times New Roman" w:eastAsia="仿宋"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w:t>
      </w:r>
      <w:r>
        <w:rPr>
          <w:rFonts w:hint="eastAsia" w:ascii="仿宋_GB2312" w:hAnsi="Times New Roman" w:eastAsia="仿宋_GB2312" w:cs="仿宋_GB2312"/>
          <w:b w:val="0"/>
          <w:bCs w:val="0"/>
          <w:kern w:val="2"/>
          <w:sz w:val="32"/>
          <w:szCs w:val="32"/>
          <w:lang w:val="en-US" w:eastAsia="zh-CN" w:bidi="ar"/>
        </w:rPr>
        <w:t>应委托有资质的中介机构，根据房产价值、所处地段、租赁市场行情等因素，对租金进行评估，以评估结果作为确定租金底价的依据。符合国务院国资委、杭州市国资委有关优化评估管理制度规定可以免于评估的情形，从其规定。依据集团资产评估管理有关制度规定可以不评估的项目，以企业的定价报告作为确定租金底价的依据，企业应根据房产租金的评估价或定价报告，和房产所在地段、类型、功能、用途相似的租赁市场价格以及有关租金参考价等，</w:t>
      </w:r>
      <w:r>
        <w:rPr>
          <w:rFonts w:hint="eastAsia" w:ascii="仿宋_GB2312" w:hAnsi="Times New Roman" w:eastAsia="仿宋_GB2312" w:cs="仿宋_GB2312"/>
          <w:spacing w:val="0"/>
          <w:kern w:val="2"/>
          <w:sz w:val="32"/>
          <w:szCs w:val="32"/>
          <w:lang w:val="en-US" w:eastAsia="zh-CN" w:bidi="ar"/>
        </w:rPr>
        <w:t>确定科学合理的招商底价。</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eastAsia" w:ascii="仿宋_GB2312" w:hAnsi="Calibri" w:eastAsia="仿宋_GB2312" w:cs="仿宋_GB2312"/>
          <w:spacing w:val="0"/>
          <w:kern w:val="2"/>
          <w:sz w:val="32"/>
          <w:szCs w:val="32"/>
        </w:rPr>
      </w:pPr>
      <w:r>
        <w:rPr>
          <w:rFonts w:hint="default" w:ascii="楷体_GB2312" w:hAnsi="楷体_GB2312" w:eastAsia="楷体_GB2312" w:cs="楷体_GB2312"/>
          <w:b/>
          <w:bCs/>
          <w:sz w:val="32"/>
          <w:szCs w:val="32"/>
          <w:lang w:val="en-US" w:eastAsia="zh-CN"/>
        </w:rPr>
        <w:t>第十五条</w:t>
      </w:r>
      <w:r>
        <w:rPr>
          <w:rFonts w:hint="default" w:ascii="Times New Roman" w:hAnsi="Times New Roman" w:eastAsia="黑体"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企业应立足专业房产实际，结合市场调研情况，确定科学合理的租期及免租期。单一项目招商期限原则上不得超过10年，因生产经营等特殊需要确需超过10年的，</w:t>
      </w:r>
      <w:r>
        <w:rPr>
          <w:rFonts w:hint="eastAsia" w:ascii="仿宋_GB2312" w:hAnsi="Times New Roman" w:eastAsia="仿宋_GB2312" w:cs="仿宋_GB2312"/>
          <w:kern w:val="0"/>
          <w:sz w:val="32"/>
          <w:szCs w:val="32"/>
          <w:lang w:val="en-US" w:eastAsia="zh-CN" w:bidi="ar"/>
        </w:rPr>
        <w:t>逐级上报集团公司董事会审议决策，</w:t>
      </w:r>
      <w:r>
        <w:rPr>
          <w:rFonts w:hint="eastAsia" w:ascii="仿宋_GB2312" w:hAnsi="Times New Roman" w:eastAsia="仿宋_GB2312" w:cs="仿宋_GB2312"/>
          <w:spacing w:val="0"/>
          <w:kern w:val="2"/>
          <w:sz w:val="32"/>
          <w:szCs w:val="32"/>
          <w:lang w:val="en-US" w:eastAsia="zh-CN" w:bidi="ar"/>
        </w:rPr>
        <w:t>最长不得超过20年。免租期应纳入整个合同期内，企业应结合项目情况、拟招商对象设置科学合理的免租期。</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2"/>
          <w:sz w:val="32"/>
          <w:szCs w:val="32"/>
          <w:highlight w:val="yellow"/>
        </w:rPr>
      </w:pPr>
      <w:r>
        <w:rPr>
          <w:rFonts w:hint="default" w:ascii="楷体_GB2312" w:hAnsi="楷体_GB2312" w:eastAsia="楷体_GB2312" w:cs="楷体_GB2312"/>
          <w:b/>
          <w:bCs/>
          <w:sz w:val="32"/>
          <w:szCs w:val="32"/>
          <w:lang w:val="en-US" w:eastAsia="zh-CN"/>
        </w:rPr>
        <w:t>第十六条</w:t>
      </w:r>
      <w:r>
        <w:rPr>
          <w:rFonts w:hint="default" w:ascii="Times New Roman" w:hAnsi="Times New Roman" w:eastAsia="仿宋" w:cs="Times New Roman"/>
          <w:spacing w:val="0"/>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企业应结合专业房产业态与管理模式，制定相对统一的租赁合同文本。合同应包括以下内容：房产位置、面积、功能及用途、租赁期限、免租期限、租赁费用、支付方式、装修条款、安全责任、清退、终止约定、转租行为约定、优先承租权约定、逾期条款、违约责任及合同变更协商机制。</w:t>
      </w:r>
    </w:p>
    <w:p>
      <w:pPr>
        <w:keepNext w:val="0"/>
        <w:keepLines w:val="0"/>
        <w:widowControl w:val="0"/>
        <w:suppressLineNumbers w:val="0"/>
        <w:autoSpaceDE w:val="0"/>
        <w:autoSpaceDN/>
        <w:spacing w:before="0" w:beforeAutospacing="0" w:after="0" w:afterAutospacing="0" w:line="560" w:lineRule="exact"/>
        <w:ind w:left="0" w:right="0" w:firstLine="642" w:firstLineChars="200"/>
        <w:jc w:val="left"/>
        <w:rPr>
          <w:rFonts w:hint="default" w:ascii="Times New Roman" w:hAnsi="Times New Roman" w:eastAsia="仿宋_GB2312" w:cs="Times New Roman"/>
          <w:kern w:val="2"/>
          <w:sz w:val="32"/>
          <w:szCs w:val="32"/>
        </w:rPr>
      </w:pPr>
      <w:r>
        <w:rPr>
          <w:rFonts w:hint="default" w:ascii="楷体_GB2312" w:hAnsi="楷体_GB2312" w:eastAsia="楷体_GB2312" w:cs="楷体_GB2312"/>
          <w:b/>
          <w:bCs/>
          <w:sz w:val="32"/>
          <w:szCs w:val="32"/>
          <w:lang w:val="en-US" w:eastAsia="zh-CN"/>
        </w:rPr>
        <w:t>第十七条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企业应在合同中约定，未经出租人书面同意，承租人不得擅自转租，以及承租人擅自转租的违约责任。确需转租的，承租人应提出书面申请，由原审批机构重新决策。</w:t>
      </w:r>
    </w:p>
    <w:p>
      <w:pPr>
        <w:keepNext w:val="0"/>
        <w:keepLines w:val="0"/>
        <w:widowControl/>
        <w:suppressLineNumbers w:val="0"/>
        <w:autoSpaceDE w:val="0"/>
        <w:autoSpaceDN/>
        <w:spacing w:before="0" w:beforeAutospacing="0" w:after="0" w:afterAutospacing="0" w:line="560" w:lineRule="exact"/>
        <w:ind w:left="0" w:right="0" w:firstLine="559"/>
        <w:jc w:val="left"/>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第十八条</w:t>
      </w:r>
      <w:r>
        <w:rPr>
          <w:rFonts w:hint="default" w:ascii="Times New Roman" w:hAnsi="Times New Roman" w:eastAsia="仿宋_GB2312"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企业应遵循</w:t>
      </w:r>
      <w:r>
        <w:rPr>
          <w:rFonts w:hint="default" w:ascii="Times New Roman" w:hAnsi="Times New Roman" w:eastAsia="仿宋_GB2312" w:cs="Times New Roman"/>
          <w:kern w:val="0"/>
          <w:sz w:val="32"/>
          <w:szCs w:val="32"/>
          <w:lang w:val="en-US" w:eastAsia="zh-CN" w:bidi="ar"/>
        </w:rPr>
        <w:t>“</w:t>
      </w:r>
      <w:r>
        <w:rPr>
          <w:rFonts w:hint="eastAsia" w:ascii="仿宋_GB2312" w:hAnsi="Times New Roman" w:eastAsia="仿宋_GB2312" w:cs="仿宋_GB2312"/>
          <w:spacing w:val="0"/>
          <w:kern w:val="2"/>
          <w:sz w:val="32"/>
          <w:szCs w:val="32"/>
          <w:lang w:val="en-US" w:eastAsia="zh-CN" w:bidi="ar"/>
        </w:rPr>
        <w:t>专业房产、专业招商、专业运营</w:t>
      </w:r>
      <w:r>
        <w:rPr>
          <w:rFonts w:hint="default" w:ascii="Times New Roman" w:hAnsi="Times New Roman" w:eastAsia="仿宋_GB2312" w:cs="Times New Roman"/>
          <w:kern w:val="0"/>
          <w:sz w:val="32"/>
          <w:szCs w:val="32"/>
          <w:lang w:val="en-US" w:eastAsia="zh-CN" w:bidi="ar"/>
        </w:rPr>
        <w:t>”</w:t>
      </w:r>
      <w:r>
        <w:rPr>
          <w:rFonts w:hint="eastAsia" w:ascii="仿宋_GB2312" w:hAnsi="Times New Roman" w:eastAsia="仿宋_GB2312" w:cs="仿宋_GB2312"/>
          <w:spacing w:val="0"/>
          <w:kern w:val="2"/>
          <w:sz w:val="32"/>
          <w:szCs w:val="32"/>
          <w:lang w:val="en-US" w:eastAsia="zh-CN" w:bidi="ar"/>
        </w:rPr>
        <w:t>的总体要求开展专业房产管理，严禁借专业房产之名规避公开招租、实为简单收取租金的行为。</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第十九条</w:t>
      </w:r>
      <w:r>
        <w:rPr>
          <w:rFonts w:hint="default" w:ascii="Times New Roman" w:hAnsi="Times New Roman" w:eastAsia="仿宋_GB2312"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企业应针对不同类型的专业房产实施针对性管控，构建业态规划、品牌招引、策划推广、客群维护、考核评价、退出管理等全方位的运营管理体系。</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spacing w:val="0"/>
          <w:kern w:val="2"/>
          <w:sz w:val="32"/>
          <w:szCs w:val="32"/>
        </w:rPr>
      </w:pPr>
      <w:r>
        <w:rPr>
          <w:rFonts w:hint="default" w:ascii="仿宋_GB2312" w:eastAsia="仿宋_GB2312" w:cs="仿宋_GB2312"/>
          <w:spacing w:val="0"/>
          <w:kern w:val="2"/>
          <w:sz w:val="32"/>
          <w:szCs w:val="32"/>
          <w:lang w:eastAsia="zh-CN" w:bidi="ar"/>
        </w:rPr>
        <w:t>1.</w:t>
      </w:r>
      <w:r>
        <w:rPr>
          <w:rFonts w:hint="eastAsia" w:ascii="仿宋_GB2312" w:hAnsi="Times New Roman" w:eastAsia="仿宋_GB2312" w:cs="仿宋_GB2312"/>
          <w:spacing w:val="0"/>
          <w:kern w:val="2"/>
          <w:sz w:val="32"/>
          <w:szCs w:val="32"/>
          <w:lang w:val="en-US" w:eastAsia="zh-CN" w:bidi="ar"/>
        </w:rPr>
        <w:t>商业综合体项目应做好业态规划与品牌关系维护，制定标准化运营管理手册，关注招商对象的经营业绩与履约能力。</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spacing w:val="0"/>
          <w:kern w:val="2"/>
          <w:sz w:val="32"/>
          <w:szCs w:val="32"/>
        </w:rPr>
      </w:pPr>
      <w:r>
        <w:rPr>
          <w:rFonts w:hint="default" w:ascii="仿宋_GB2312" w:eastAsia="仿宋_GB2312" w:cs="仿宋_GB2312"/>
          <w:spacing w:val="0"/>
          <w:kern w:val="2"/>
          <w:sz w:val="32"/>
          <w:szCs w:val="32"/>
          <w:lang w:eastAsia="zh-CN" w:bidi="ar"/>
        </w:rPr>
        <w:t>2.</w:t>
      </w:r>
      <w:r>
        <w:rPr>
          <w:rFonts w:hint="eastAsia" w:ascii="仿宋_GB2312" w:hAnsi="Times New Roman" w:eastAsia="仿宋_GB2312" w:cs="仿宋_GB2312"/>
          <w:spacing w:val="0"/>
          <w:kern w:val="2"/>
          <w:sz w:val="32"/>
          <w:szCs w:val="32"/>
          <w:lang w:val="en-US" w:eastAsia="zh-CN" w:bidi="ar"/>
        </w:rPr>
        <w:t>专业市场应做好商户档案管理，搭建与专业细分市场类型相适应的管理团队，关注市场卫生、安全、商品质量与经营秩序。</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spacing w:val="0"/>
          <w:kern w:val="2"/>
          <w:sz w:val="32"/>
          <w:szCs w:val="32"/>
        </w:rPr>
      </w:pPr>
      <w:r>
        <w:rPr>
          <w:rFonts w:hint="default" w:ascii="仿宋_GB2312" w:eastAsia="仿宋_GB2312" w:cs="仿宋_GB2312"/>
          <w:spacing w:val="0"/>
          <w:kern w:val="2"/>
          <w:sz w:val="32"/>
          <w:szCs w:val="32"/>
          <w:lang w:eastAsia="zh-CN" w:bidi="ar"/>
        </w:rPr>
        <w:t>3.</w:t>
      </w:r>
      <w:r>
        <w:rPr>
          <w:rFonts w:hint="eastAsia" w:ascii="仿宋_GB2312" w:hAnsi="Times New Roman" w:eastAsia="仿宋_GB2312" w:cs="仿宋_GB2312"/>
          <w:spacing w:val="0"/>
          <w:kern w:val="2"/>
          <w:sz w:val="32"/>
          <w:szCs w:val="32"/>
          <w:lang w:val="en-US" w:eastAsia="zh-CN" w:bidi="ar"/>
        </w:rPr>
        <w:t>产业园区应做好园区发展规划，构建专业化、智慧化、精细化的园区运营管理体系，关注引入对象的产业发展规划及发展趋势。</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spacing w:val="0"/>
          <w:kern w:val="2"/>
          <w:sz w:val="32"/>
          <w:szCs w:val="32"/>
        </w:rPr>
      </w:pPr>
      <w:r>
        <w:rPr>
          <w:rFonts w:hint="default" w:ascii="仿宋_GB2312" w:eastAsia="仿宋_GB2312" w:cs="仿宋_GB2312"/>
          <w:spacing w:val="0"/>
          <w:kern w:val="2"/>
          <w:sz w:val="32"/>
          <w:szCs w:val="32"/>
          <w:lang w:eastAsia="zh-CN" w:bidi="ar"/>
        </w:rPr>
        <w:t>4.</w:t>
      </w:r>
      <w:r>
        <w:rPr>
          <w:rFonts w:hint="eastAsia" w:ascii="仿宋_GB2312" w:hAnsi="Times New Roman" w:eastAsia="仿宋_GB2312" w:cs="仿宋_GB2312"/>
          <w:spacing w:val="0"/>
          <w:kern w:val="2"/>
          <w:sz w:val="32"/>
          <w:szCs w:val="32"/>
          <w:lang w:val="en-US" w:eastAsia="zh-CN" w:bidi="ar"/>
        </w:rPr>
        <w:t>物流园区应做好客户资源挖掘，加强关联客户的对接，建立良性合作机制，搭建全方位的运营管理体系，强化安全有序运营。</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spacing w:val="0"/>
          <w:kern w:val="2"/>
          <w:sz w:val="32"/>
          <w:szCs w:val="32"/>
        </w:rPr>
      </w:pPr>
      <w:r>
        <w:rPr>
          <w:rFonts w:hint="default" w:ascii="仿宋_GB2312" w:eastAsia="仿宋_GB2312" w:cs="仿宋_GB2312"/>
          <w:spacing w:val="0"/>
          <w:kern w:val="2"/>
          <w:sz w:val="32"/>
          <w:szCs w:val="32"/>
          <w:lang w:eastAsia="zh-CN" w:bidi="ar"/>
        </w:rPr>
        <w:t>5.</w:t>
      </w:r>
      <w:r>
        <w:rPr>
          <w:rFonts w:hint="eastAsia" w:ascii="仿宋_GB2312" w:hAnsi="Times New Roman" w:eastAsia="仿宋_GB2312" w:cs="仿宋_GB2312"/>
          <w:spacing w:val="0"/>
          <w:kern w:val="2"/>
          <w:sz w:val="32"/>
          <w:szCs w:val="32"/>
          <w:lang w:val="en-US" w:eastAsia="zh-CN" w:bidi="ar"/>
        </w:rPr>
        <w:t>长租公寓应做好客群定位分析，针对不同类型的长租公寓产品制定标准化管理手册，应符合市、区相关政策规定，关注承租人资格条件、租金收缴与租后安全管理。</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第二十条</w:t>
      </w:r>
      <w:r>
        <w:rPr>
          <w:rFonts w:hint="default" w:ascii="Times New Roman" w:hAnsi="Times New Roman" w:eastAsia="仿宋"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尊重市场经济规律，充分引入市场竞争，加强专业运营团队建设，强化专业房产方案策划、招商招引、运营管理的全过程专业管理，提升专业房产项目价值，推动项目可持续高质量发展，实现综合管理价值最大化。</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第二十一条</w:t>
      </w:r>
      <w:r>
        <w:rPr>
          <w:rFonts w:hint="default" w:ascii="Times New Roman" w:hAnsi="Times New Roman" w:eastAsia="仿宋"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企业应加强对专业房产的日常监管，监督检查项目运营情况。防范合同履行过程中的经营风险，</w:t>
      </w:r>
      <w:r>
        <w:rPr>
          <w:rFonts w:hint="eastAsia" w:ascii="仿宋_GB2312" w:hAnsi="Times New Roman" w:eastAsia="仿宋_GB2312" w:cs="仿宋_GB2312"/>
          <w:kern w:val="2"/>
          <w:sz w:val="32"/>
          <w:szCs w:val="32"/>
          <w:lang w:val="en-US" w:eastAsia="zh-CN" w:bidi="ar"/>
        </w:rPr>
        <w:t>对违反合同的行为，应当采取及时有效措施，维护企业合法权益，保障国有资产安全高效运营。</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2"/>
          <w:sz w:val="32"/>
          <w:szCs w:val="32"/>
        </w:rPr>
      </w:pPr>
      <w:r>
        <w:rPr>
          <w:rFonts w:hint="default" w:ascii="楷体_GB2312" w:hAnsi="楷体_GB2312" w:eastAsia="楷体_GB2312" w:cs="楷体_GB2312"/>
          <w:b/>
          <w:bCs/>
          <w:sz w:val="32"/>
          <w:szCs w:val="32"/>
          <w:lang w:val="en-US" w:eastAsia="zh-CN"/>
        </w:rPr>
        <w:t>第二十二条</w:t>
      </w:r>
      <w:r>
        <w:rPr>
          <w:rFonts w:hint="default" w:ascii="Times New Roman" w:hAnsi="Times New Roman" w:eastAsia="黑体"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企业应充分利用数字化手段，提升经营管理效率。</w:t>
      </w:r>
      <w:r>
        <w:rPr>
          <w:rFonts w:hint="eastAsia" w:ascii="仿宋_GB2312" w:hAnsi="Times New Roman" w:eastAsia="仿宋_GB2312" w:cs="仿宋_GB2312"/>
          <w:b w:val="0"/>
          <w:bCs w:val="0"/>
          <w:kern w:val="2"/>
          <w:sz w:val="32"/>
          <w:szCs w:val="32"/>
          <w:lang w:val="en-US" w:eastAsia="zh-CN" w:bidi="ar"/>
        </w:rPr>
        <w:t>根据市国资委和集团公司有关要求，落实专人负责智慧国资房产管理系统和集团房产运营平台的动态更新与维护，确保房产信息的完整、及时、准确。</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2"/>
          <w:sz w:val="32"/>
          <w:szCs w:val="32"/>
        </w:rPr>
      </w:pPr>
      <w:r>
        <w:rPr>
          <w:rFonts w:hint="default" w:ascii="楷体_GB2312" w:hAnsi="楷体_GB2312" w:eastAsia="楷体_GB2312" w:cs="楷体_GB2312"/>
          <w:b/>
          <w:bCs/>
          <w:sz w:val="32"/>
          <w:szCs w:val="32"/>
          <w:lang w:val="en-US" w:eastAsia="zh-CN"/>
        </w:rPr>
        <w:t>第二十三条</w:t>
      </w:r>
      <w:r>
        <w:rPr>
          <w:rFonts w:hint="default" w:ascii="Times New Roman" w:hAnsi="Times New Roman" w:eastAsia="仿宋"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w:t>
      </w:r>
      <w:r>
        <w:rPr>
          <w:rFonts w:hint="eastAsia" w:ascii="仿宋_GB2312" w:hAnsi="Times New Roman" w:eastAsia="仿宋_GB2312" w:cs="仿宋_GB2312"/>
          <w:kern w:val="2"/>
          <w:sz w:val="32"/>
          <w:szCs w:val="32"/>
          <w:lang w:val="en-US" w:eastAsia="zh-CN" w:bidi="ar"/>
        </w:rPr>
        <w:t>应对专业房产开展常态化安全检查，建立检查台账，对存在生产、消防、社会综合治理等安全隐患场所必须提出限期整改要求，未按规定整改的，按合同约定处置，直至终止协议。</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sz w:val="32"/>
          <w:szCs w:val="32"/>
          <w:lang w:val="en-US" w:eastAsia="zh-CN"/>
        </w:rPr>
        <w:t>第二十四条</w:t>
      </w:r>
      <w:r>
        <w:rPr>
          <w:rFonts w:hint="default" w:ascii="Times New Roman" w:hAnsi="Times New Roman" w:eastAsia="仿宋_GB2312" w:cs="Times New Roman"/>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企业应建立专业房产招商项目年度评价机制，加强履约管理与总结性评价，及时复盘项目效益。</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黑体" w:cs="Times New Roman"/>
          <w:b w:val="0"/>
          <w:bCs w:val="0"/>
          <w:kern w:val="44"/>
          <w:sz w:val="32"/>
          <w:szCs w:val="32"/>
          <w:lang w:val="en-US" w:eastAsia="zh-CN" w:bidi="ar"/>
        </w:rPr>
      </w:pPr>
      <w:r>
        <w:rPr>
          <w:rFonts w:hint="default" w:ascii="楷体_GB2312" w:hAnsi="楷体_GB2312" w:eastAsia="楷体_GB2312" w:cs="楷体_GB2312"/>
          <w:b/>
          <w:bCs/>
          <w:sz w:val="32"/>
          <w:szCs w:val="32"/>
          <w:lang w:val="en-US" w:eastAsia="zh-CN"/>
        </w:rPr>
        <w:t>第二十五条</w:t>
      </w:r>
      <w:r>
        <w:rPr>
          <w:rFonts w:hint="default" w:ascii="Times New Roman" w:hAnsi="Times New Roman" w:eastAsia="仿宋"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企业与招商对象合作经营的专业房产运营项目，应建立科学的考核与退出管理机制，强化退出管理，维护本企业利益。</w:t>
      </w:r>
      <w:r>
        <w:rPr>
          <w:rFonts w:hint="default" w:ascii="Times New Roman" w:hAnsi="Times New Roman" w:eastAsia="黑体" w:cs="Times New Roman"/>
          <w:b w:val="0"/>
          <w:bCs w:val="0"/>
          <w:kern w:val="44"/>
          <w:sz w:val="32"/>
          <w:szCs w:val="32"/>
          <w:lang w:val="en-US" w:eastAsia="zh-CN" w:bidi="ar"/>
        </w:rPr>
        <w:t xml:space="preserve"> </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b w:val="0"/>
          <w:bCs w:val="0"/>
          <w:kern w:val="44"/>
          <w:sz w:val="32"/>
          <w:szCs w:val="32"/>
          <w:lang w:val="en-US" w:eastAsia="zh-CN" w:bidi="ar"/>
        </w:rPr>
      </w:pPr>
    </w:p>
    <w:p>
      <w:pPr>
        <w:keepNext w:val="0"/>
        <w:keepLines w:val="0"/>
        <w:widowControl/>
        <w:suppressLineNumbers w:val="0"/>
        <w:autoSpaceDE w:val="0"/>
        <w:autoSpaceDN/>
        <w:spacing w:before="0" w:beforeAutospacing="0" w:after="0" w:afterAutospacing="0" w:line="560" w:lineRule="exact"/>
        <w:ind w:left="0" w:right="0"/>
        <w:jc w:val="center"/>
        <w:outlineLvl w:val="0"/>
        <w:rPr>
          <w:rFonts w:hint="default" w:ascii="Times New Roman" w:hAnsi="Times New Roman" w:eastAsia="黑体" w:cs="Times New Roman"/>
          <w:b w:val="0"/>
          <w:bCs w:val="0"/>
          <w:kern w:val="44"/>
          <w:sz w:val="32"/>
          <w:szCs w:val="32"/>
        </w:rPr>
      </w:pPr>
      <w:r>
        <w:rPr>
          <w:rFonts w:hint="default" w:ascii="黑体" w:hAnsi="宋体" w:eastAsia="黑体" w:cs="黑体"/>
          <w:b w:val="0"/>
          <w:bCs w:val="0"/>
          <w:kern w:val="44"/>
          <w:sz w:val="32"/>
          <w:szCs w:val="32"/>
          <w:lang w:val="en-US" w:eastAsia="zh-CN" w:bidi="ar"/>
        </w:rPr>
        <w:t>第五章</w:t>
      </w:r>
      <w:r>
        <w:rPr>
          <w:rFonts w:hint="default" w:ascii="Times New Roman" w:hAnsi="Times New Roman" w:eastAsia="黑体" w:cs="Times New Roman"/>
          <w:b w:val="0"/>
          <w:bCs w:val="0"/>
          <w:kern w:val="44"/>
          <w:sz w:val="32"/>
          <w:szCs w:val="32"/>
          <w:lang w:val="en-US" w:eastAsia="zh-CN" w:bidi="ar"/>
        </w:rPr>
        <w:t xml:space="preserve"> </w:t>
      </w:r>
      <w:r>
        <w:rPr>
          <w:rFonts w:hint="default" w:ascii="黑体" w:hAnsi="宋体" w:eastAsia="黑体" w:cs="黑体"/>
          <w:b w:val="0"/>
          <w:bCs w:val="0"/>
          <w:kern w:val="44"/>
          <w:sz w:val="32"/>
          <w:szCs w:val="32"/>
          <w:lang w:val="en-US" w:eastAsia="zh-CN" w:bidi="ar"/>
        </w:rPr>
        <w:t>监督检查</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黑体" w:cs="Times New Roman"/>
          <w:kern w:val="2"/>
          <w:sz w:val="32"/>
          <w:szCs w:val="32"/>
        </w:rPr>
      </w:pPr>
      <w:r>
        <w:rPr>
          <w:rFonts w:hint="default" w:ascii="楷体_GB2312" w:hAnsi="楷体_GB2312" w:eastAsia="楷体_GB2312" w:cs="楷体_GB2312"/>
          <w:b/>
          <w:bCs/>
          <w:sz w:val="32"/>
          <w:szCs w:val="32"/>
          <w:lang w:val="en-US" w:eastAsia="zh-CN"/>
        </w:rPr>
        <w:t>第二十六条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集团公司每年组织开展专项检查，对企业专业房产管理制度执行情况与项目运营情况进行监督检查，严肃查处违规行为，促进国有资产保值增值。</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2"/>
          <w:sz w:val="32"/>
          <w:szCs w:val="32"/>
        </w:rPr>
      </w:pPr>
      <w:r>
        <w:rPr>
          <w:rFonts w:hint="default" w:ascii="楷体_GB2312" w:hAnsi="楷体_GB2312" w:eastAsia="楷体_GB2312" w:cs="楷体_GB2312"/>
          <w:b/>
          <w:bCs/>
          <w:sz w:val="32"/>
          <w:szCs w:val="32"/>
          <w:lang w:val="en-US" w:eastAsia="zh-CN"/>
        </w:rPr>
        <w:t>第二十七条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严禁利用专业房产实施利益输送、</w:t>
      </w:r>
      <w:r>
        <w:rPr>
          <w:rFonts w:hint="eastAsia" w:ascii="仿宋_GB2312" w:hAnsi="Times New Roman" w:eastAsia="仿宋_GB2312" w:cs="仿宋_GB2312"/>
          <w:kern w:val="0"/>
          <w:sz w:val="32"/>
          <w:szCs w:val="32"/>
          <w:lang w:val="en-US" w:eastAsia="zh-CN" w:bidi="ar"/>
        </w:rPr>
        <w:t>违背市场规律减免租金、随意让利等行为。</w:t>
      </w:r>
      <w:r>
        <w:rPr>
          <w:rFonts w:hint="eastAsia" w:ascii="仿宋_GB2312" w:hAnsi="Times New Roman" w:eastAsia="仿宋_GB2312" w:cs="仿宋_GB2312"/>
          <w:kern w:val="2"/>
          <w:sz w:val="32"/>
          <w:szCs w:val="32"/>
          <w:lang w:val="en-US" w:eastAsia="zh-CN" w:bidi="ar"/>
        </w:rPr>
        <w:t>系统国有企业相关人员在专业房产经营管理过程中弄虚作假、滥用职权、玩忽职守，造成国有资产损失的，应当依规依纪依法追究相关责任。</w:t>
      </w:r>
    </w:p>
    <w:p>
      <w:pPr>
        <w:keepNext w:val="0"/>
        <w:keepLines w:val="0"/>
        <w:widowControl/>
        <w:suppressLineNumbers w:val="0"/>
        <w:autoSpaceDE w:val="0"/>
        <w:autoSpaceDN/>
        <w:spacing w:before="0" w:beforeAutospacing="0" w:after="0" w:afterAutospacing="0" w:line="560" w:lineRule="exact"/>
        <w:ind w:left="0" w:right="0"/>
        <w:jc w:val="center"/>
        <w:outlineLvl w:val="0"/>
        <w:rPr>
          <w:rFonts w:hint="default" w:ascii="Times New Roman" w:hAnsi="Times New Roman" w:eastAsia="黑体" w:cs="Times New Roman"/>
          <w:b w:val="0"/>
          <w:bCs w:val="0"/>
          <w:kern w:val="44"/>
          <w:sz w:val="32"/>
          <w:szCs w:val="32"/>
        </w:rPr>
      </w:pPr>
      <w:r>
        <w:rPr>
          <w:rFonts w:hint="default" w:ascii="Times New Roman" w:hAnsi="Times New Roman" w:eastAsia="黑体" w:cs="Times New Roman"/>
          <w:b w:val="0"/>
          <w:bCs w:val="0"/>
          <w:kern w:val="44"/>
          <w:sz w:val="32"/>
          <w:szCs w:val="32"/>
          <w:lang w:val="en-US" w:eastAsia="zh-CN" w:bidi="ar"/>
        </w:rPr>
        <w:t xml:space="preserve"> </w:t>
      </w:r>
    </w:p>
    <w:p>
      <w:pPr>
        <w:keepNext w:val="0"/>
        <w:keepLines w:val="0"/>
        <w:widowControl/>
        <w:suppressLineNumbers w:val="0"/>
        <w:autoSpaceDE w:val="0"/>
        <w:autoSpaceDN/>
        <w:spacing w:before="0" w:beforeAutospacing="0" w:after="0" w:afterAutospacing="0" w:line="560" w:lineRule="exact"/>
        <w:ind w:left="0" w:right="0"/>
        <w:jc w:val="center"/>
        <w:outlineLvl w:val="0"/>
        <w:rPr>
          <w:rFonts w:hint="default" w:ascii="Times New Roman" w:hAnsi="Times New Roman" w:eastAsia="黑体" w:cs="Times New Roman"/>
          <w:b w:val="0"/>
          <w:bCs w:val="0"/>
          <w:kern w:val="44"/>
          <w:sz w:val="32"/>
          <w:szCs w:val="32"/>
        </w:rPr>
      </w:pPr>
      <w:r>
        <w:rPr>
          <w:rFonts w:hint="default" w:ascii="黑体" w:hAnsi="宋体" w:eastAsia="黑体" w:cs="黑体"/>
          <w:b w:val="0"/>
          <w:bCs w:val="0"/>
          <w:kern w:val="44"/>
          <w:sz w:val="32"/>
          <w:szCs w:val="32"/>
          <w:lang w:val="en-US" w:eastAsia="zh-CN" w:bidi="ar"/>
        </w:rPr>
        <w:t>第六章</w:t>
      </w:r>
      <w:r>
        <w:rPr>
          <w:rFonts w:hint="default" w:ascii="Times New Roman" w:hAnsi="Times New Roman" w:eastAsia="黑体" w:cs="Times New Roman"/>
          <w:b w:val="0"/>
          <w:bCs w:val="0"/>
          <w:kern w:val="44"/>
          <w:sz w:val="32"/>
          <w:szCs w:val="32"/>
          <w:lang w:val="en-US" w:eastAsia="zh-CN" w:bidi="ar"/>
        </w:rPr>
        <w:t xml:space="preserve"> </w:t>
      </w:r>
      <w:r>
        <w:rPr>
          <w:rFonts w:hint="default" w:ascii="黑体" w:hAnsi="宋体" w:eastAsia="黑体" w:cs="黑体"/>
          <w:b w:val="0"/>
          <w:bCs w:val="0"/>
          <w:kern w:val="44"/>
          <w:sz w:val="32"/>
          <w:szCs w:val="32"/>
          <w:lang w:val="en-US" w:eastAsia="zh-CN" w:bidi="ar"/>
        </w:rPr>
        <w:t>附则</w:t>
      </w:r>
    </w:p>
    <w:p>
      <w:pPr>
        <w:keepNext w:val="0"/>
        <w:keepLines w:val="0"/>
        <w:widowControl w:val="0"/>
        <w:suppressLineNumbers w:val="0"/>
        <w:spacing w:before="0" w:beforeAutospacing="0" w:after="0" w:afterAutospacing="0" w:line="560" w:lineRule="exact"/>
        <w:ind w:left="0" w:right="0" w:firstLine="642" w:firstLineChars="200"/>
        <w:jc w:val="both"/>
        <w:rPr>
          <w:rFonts w:hint="default" w:ascii="Times New Roman" w:hAnsi="Times New Roman" w:eastAsia="仿宋_GB2312" w:cs="Times New Roman"/>
          <w:kern w:val="2"/>
          <w:sz w:val="32"/>
          <w:szCs w:val="32"/>
        </w:rPr>
      </w:pPr>
      <w:r>
        <w:rPr>
          <w:rFonts w:hint="default" w:ascii="楷体_GB2312" w:hAnsi="楷体_GB2312" w:eastAsia="楷体_GB2312" w:cs="楷体_GB2312"/>
          <w:b/>
          <w:bCs/>
          <w:sz w:val="32"/>
          <w:szCs w:val="32"/>
          <w:lang w:val="en-US" w:eastAsia="zh-CN"/>
        </w:rPr>
        <w:t>第二十八条</w:t>
      </w:r>
      <w:r>
        <w:rPr>
          <w:rFonts w:hint="default" w:ascii="Times New Roman" w:hAnsi="Times New Roman" w:eastAsia="黑体"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非专业房产按照市国资委、集团公司房产出租管理办法执行。</w:t>
      </w:r>
    </w:p>
    <w:p>
      <w:pPr>
        <w:keepNext w:val="0"/>
        <w:keepLines w:val="0"/>
        <w:widowControl w:val="0"/>
        <w:suppressLineNumbers w:val="0"/>
        <w:autoSpaceDE w:val="0"/>
        <w:autoSpaceDN/>
        <w:spacing w:before="0" w:beforeAutospacing="0" w:after="0" w:afterAutospacing="0" w:line="560" w:lineRule="exact"/>
        <w:ind w:left="0" w:right="0" w:firstLine="642" w:firstLineChars="200"/>
        <w:jc w:val="both"/>
        <w:rPr>
          <w:rFonts w:hint="default" w:ascii="Times New Roman" w:hAnsi="Times New Roman" w:eastAsia="仿宋_GB2312" w:cs="Times New Roman"/>
          <w:kern w:val="2"/>
          <w:sz w:val="32"/>
          <w:szCs w:val="32"/>
        </w:rPr>
      </w:pPr>
      <w:r>
        <w:rPr>
          <w:rFonts w:hint="default" w:ascii="楷体_GB2312" w:hAnsi="楷体_GB2312" w:eastAsia="楷体_GB2312" w:cs="楷体_GB2312"/>
          <w:b/>
          <w:bCs/>
          <w:sz w:val="32"/>
          <w:szCs w:val="32"/>
          <w:lang w:val="en-US" w:eastAsia="zh-CN"/>
        </w:rPr>
        <w:t>第二十九条</w:t>
      </w:r>
      <w:r>
        <w:rPr>
          <w:rFonts w:hint="default" w:ascii="Times New Roman" w:hAnsi="Times New Roman" w:eastAsia="黑体"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本办法由集团资产管理部负责解释。</w:t>
      </w:r>
    </w:p>
    <w:p>
      <w:pPr>
        <w:keepNext w:val="0"/>
        <w:keepLines w:val="0"/>
        <w:widowControl w:val="0"/>
        <w:suppressLineNumbers w:val="0"/>
        <w:spacing w:before="0" w:beforeAutospacing="0" w:after="0" w:afterAutospacing="0" w:line="560" w:lineRule="exact"/>
        <w:ind w:left="0" w:right="0" w:firstLine="642" w:firstLineChars="200"/>
        <w:jc w:val="both"/>
        <w:rPr>
          <w:rFonts w:hint="eastAsia" w:ascii="仿宋_GB2312" w:hAnsi="Calibri" w:eastAsia="仿宋_GB2312" w:cs="仿宋_GB2312"/>
          <w:kern w:val="2"/>
          <w:sz w:val="32"/>
          <w:szCs w:val="32"/>
        </w:rPr>
      </w:pPr>
      <w:r>
        <w:rPr>
          <w:rFonts w:hint="default" w:ascii="楷体_GB2312" w:hAnsi="楷体_GB2312" w:eastAsia="楷体_GB2312" w:cs="楷体_GB2312"/>
          <w:b/>
          <w:bCs/>
          <w:sz w:val="32"/>
          <w:szCs w:val="32"/>
          <w:lang w:val="en-US" w:eastAsia="zh-CN"/>
        </w:rPr>
        <w:t>第三十条</w:t>
      </w:r>
      <w:r>
        <w:rPr>
          <w:rFonts w:hint="eastAsia" w:ascii="仿宋_GB2312" w:hAnsi="Times New Roman" w:eastAsia="仿宋_GB2312" w:cs="仿宋_GB2312"/>
          <w:kern w:val="2"/>
          <w:sz w:val="32"/>
          <w:szCs w:val="32"/>
          <w:lang w:val="en-US" w:eastAsia="zh-CN" w:bidi="ar"/>
        </w:rPr>
        <w:t xml:space="preserve"> 本办法自印发之日起施行，《杭州市交通投资集团有限公司专业房产管理办法（试行）》</w:t>
      </w:r>
      <w:r>
        <w:rPr>
          <w:rFonts w:hint="eastAsia" w:ascii="仿宋_GB2312" w:hAnsi="Times New Roman" w:eastAsia="仿宋_GB2312" w:cs="仿宋_GB2312"/>
          <w:b w:val="0"/>
          <w:bCs w:val="0"/>
          <w:kern w:val="2"/>
          <w:sz w:val="32"/>
          <w:szCs w:val="32"/>
          <w:lang w:val="en-US" w:eastAsia="zh-CN" w:bidi="ar"/>
        </w:rPr>
        <w:t>（杭交投集团〔2025〕51号）同时废止。</w:t>
      </w:r>
    </w:p>
    <w:p>
      <w:pPr>
        <w:keepNext w:val="0"/>
        <w:keepLines w:val="0"/>
        <w:widowControl w:val="0"/>
        <w:suppressLineNumbers w:val="0"/>
        <w:spacing w:before="0" w:beforeAutospacing="0" w:after="0" w:afterAutospacing="0"/>
        <w:ind w:left="0" w:right="0"/>
        <w:jc w:val="both"/>
        <w:rPr>
          <w:rFonts w:hint="default" w:ascii="等线" w:hAnsi="Times New Roman" w:eastAsia="等线" w:cs="Times New Roman"/>
          <w:kern w:val="2"/>
          <w:sz w:val="21"/>
          <w:szCs w:val="21"/>
        </w:rPr>
      </w:pPr>
    </w:p>
    <w:p>
      <w:pPr>
        <w:rPr>
          <w:rFonts w:ascii="Calibri" w:hAnsi="Calibri" w:eastAsia="宋体" w:cs="Times New Roman"/>
          <w:szCs w:val="24"/>
        </w:rPr>
      </w:pPr>
    </w:p>
    <w:p>
      <w:pPr>
        <w:spacing w:line="600" w:lineRule="exact"/>
        <w:rPr>
          <w:rFonts w:hint="eastAsia" w:ascii="仿宋_GB2312" w:eastAsia="仿宋_GB2312" w:cs="仿宋_GB2312"/>
          <w:spacing w:val="-6"/>
          <w:sz w:val="32"/>
          <w:szCs w:val="32"/>
        </w:rPr>
      </w:pPr>
    </w:p>
    <w:p>
      <w:pPr>
        <w:spacing w:line="600" w:lineRule="exact"/>
        <w:rPr>
          <w:rFonts w:hint="eastAsia" w:ascii="仿宋_GB2312" w:hAnsi="仿宋_GB2312" w:cs="仿宋_GB2312"/>
          <w:szCs w:val="32"/>
        </w:rPr>
      </w:pPr>
    </w:p>
    <w:tbl>
      <w:tblPr>
        <w:tblStyle w:val="5"/>
        <w:tblpPr w:leftFromText="181" w:rightFromText="181" w:horzAnchor="page" w:tblpX="1588" w:tblpYSpec="bottom"/>
        <w:tblOverlap w:val="never"/>
        <w:tblW w:w="0" w:type="auto"/>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16"/>
        <w:gridCol w:w="3728"/>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7" w:hRule="atLeast"/>
        </w:trPr>
        <w:tc>
          <w:tcPr>
            <w:tcW w:w="5116" w:type="dxa"/>
            <w:tcBorders>
              <w:top w:val="single" w:color="auto" w:sz="8" w:space="0"/>
              <w:left w:val="nil"/>
              <w:bottom w:val="single" w:color="auto" w:sz="8" w:space="0"/>
              <w:right w:val="nil"/>
            </w:tcBorders>
            <w:noWrap w:val="0"/>
            <w:tcMar>
              <w:right w:w="113" w:type="dxa"/>
            </w:tcMar>
            <w:vAlign w:val="center"/>
          </w:tcPr>
          <w:p>
            <w:pPr>
              <w:autoSpaceDN w:val="0"/>
              <w:ind w:left="210" w:leftChars="100"/>
              <w:jc w:val="left"/>
              <w:rPr>
                <w:rFonts w:hint="eastAsia" w:ascii="仿宋_GB2312" w:eastAsia="仿宋_GB2312" w:cs="仿宋_GB2312"/>
                <w:sz w:val="28"/>
                <w:szCs w:val="28"/>
                <w:lang w:eastAsia="zh-CN"/>
              </w:rPr>
            </w:pPr>
            <w:bookmarkStart w:id="2" w:name="field0014"/>
            <w:r>
              <w:rPr>
                <w:rFonts w:hint="eastAsia" w:ascii="仿宋_GB2312" w:eastAsia="仿宋_GB2312" w:cs="仿宋_GB2312"/>
                <w:sz w:val="28"/>
                <w:szCs w:val="28"/>
                <w:lang w:eastAsia="zh-CN"/>
              </w:rPr>
              <w:t>杭州市交通投资集团有限公司办公室</w:t>
            </w:r>
            <w:bookmarkEnd w:id="2"/>
          </w:p>
        </w:tc>
        <w:tc>
          <w:tcPr>
            <w:tcW w:w="3728" w:type="dxa"/>
            <w:tcBorders>
              <w:top w:val="single" w:color="auto" w:sz="8" w:space="0"/>
              <w:left w:val="nil"/>
              <w:bottom w:val="single" w:color="auto" w:sz="8" w:space="0"/>
              <w:right w:val="nil"/>
            </w:tcBorders>
            <w:noWrap w:val="0"/>
            <w:tcMar>
              <w:right w:w="113" w:type="dxa"/>
            </w:tcMar>
            <w:vAlign w:val="center"/>
          </w:tcPr>
          <w:p>
            <w:pPr>
              <w:autoSpaceDN w:val="0"/>
              <w:ind w:right="210" w:rightChars="100"/>
              <w:jc w:val="right"/>
              <w:rPr>
                <w:rFonts w:hint="eastAsia" w:ascii="仿宋_GB2312" w:eastAsia="仿宋_GB2312" w:cs="仿宋_GB2312"/>
                <w:sz w:val="28"/>
                <w:szCs w:val="28"/>
              </w:rPr>
            </w:pPr>
            <w:bookmarkStart w:id="3" w:name="Printing_Date"/>
            <w:r>
              <w:rPr>
                <w:rFonts w:hint="eastAsia" w:ascii="仿宋_GB2312" w:eastAsia="仿宋_GB2312" w:cs="仿宋_GB2312"/>
                <w:sz w:val="28"/>
                <w:szCs w:val="28"/>
                <w:lang w:eastAsia="zh-CN"/>
              </w:rPr>
              <w:t>2026年6月17日</w:t>
            </w:r>
            <w:bookmarkEnd w:id="3"/>
            <w:r>
              <w:rPr>
                <w:rFonts w:hint="eastAsia" w:ascii="仿宋_GB2312" w:eastAsia="仿宋_GB2312" w:cs="仿宋_GB2312"/>
                <w:sz w:val="28"/>
                <w:szCs w:val="28"/>
              </w:rPr>
              <w:t>印发</w:t>
            </w:r>
          </w:p>
        </w:tc>
      </w:tr>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 w:hRule="exact"/>
        </w:trPr>
        <w:tc>
          <w:tcPr>
            <w:tcW w:w="5116" w:type="dxa"/>
            <w:tcBorders>
              <w:top w:val="single" w:color="auto" w:sz="8" w:space="0"/>
              <w:left w:val="nil"/>
              <w:bottom w:val="nil"/>
              <w:right w:val="nil"/>
            </w:tcBorders>
            <w:noWrap w:val="0"/>
            <w:tcMar>
              <w:right w:w="113" w:type="dxa"/>
            </w:tcMar>
            <w:vAlign w:val="top"/>
          </w:tcPr>
          <w:p>
            <w:pPr>
              <w:autoSpaceDN w:val="0"/>
              <w:jc w:val="left"/>
              <w:rPr>
                <w:rFonts w:hint="eastAsia" w:ascii="仿宋" w:eastAsia="仿宋" w:cs="仿宋"/>
                <w:sz w:val="28"/>
                <w:szCs w:val="28"/>
              </w:rPr>
            </w:pPr>
          </w:p>
        </w:tc>
        <w:tc>
          <w:tcPr>
            <w:tcW w:w="3728" w:type="dxa"/>
            <w:tcBorders>
              <w:top w:val="single" w:color="auto" w:sz="8" w:space="0"/>
              <w:left w:val="nil"/>
              <w:bottom w:val="nil"/>
              <w:right w:val="nil"/>
            </w:tcBorders>
            <w:noWrap w:val="0"/>
            <w:tcMar>
              <w:right w:w="113" w:type="dxa"/>
            </w:tcMar>
            <w:vAlign w:val="top"/>
          </w:tcPr>
          <w:p>
            <w:pPr>
              <w:autoSpaceDN w:val="0"/>
              <w:ind w:right="210" w:rightChars="100"/>
              <w:jc w:val="right"/>
              <w:rPr>
                <w:rFonts w:hint="eastAsia" w:ascii="仿宋" w:eastAsia="仿宋" w:cs="仿宋"/>
                <w:sz w:val="28"/>
                <w:szCs w:val="28"/>
              </w:rPr>
            </w:pPr>
          </w:p>
        </w:tc>
      </w:tr>
    </w:tbl>
    <w:p>
      <w:pPr>
        <w:rPr>
          <w:rFonts w:hint="eastAsia"/>
        </w:rPr>
      </w:pPr>
    </w:p>
    <w:sectPr>
      <w:pgSz w:w="11906" w:h="16838"/>
      <w:pgMar w:top="2098" w:right="1474" w:bottom="1985" w:left="1588"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方正小标宋简体">
    <w:altName w:val="汉仪书宋二KW"/>
    <w:panose1 w:val="03000509000000000000"/>
    <w:charset w:val="86"/>
    <w:family w:val="script"/>
    <w:pitch w:val="default"/>
    <w:sig w:usb0="00000000" w:usb1="00000000" w:usb2="00000000" w:usb3="00000000" w:csb0="00040000" w:csb1="00000000"/>
  </w:font>
  <w:font w:name="小标宋">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方正小标宋简体">
    <w:altName w:val="汉仪书宋二KW"/>
    <w:panose1 w:val="00000000000000000000"/>
    <w:charset w:val="00"/>
    <w:family w:val="auto"/>
    <w:pitch w:val="default"/>
    <w:sig w:usb0="00000000" w:usb1="00000000" w:usb2="00000000" w:usb3="00000000" w:csb0="0000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s0lY7goBAAAFAQAADwAAAAAAAAABACAAAAAiAAAAZHJzL2Rvd25yZXYueG1sUEsBAhQA&#10;FAAAAAgAh07iQFLilsvdAgAAJAYAAA4AAAAAAAAAAQAgAAAAWQEAAGRycy9lMm9Eb2MueG1sUEsF&#10;BgAAAAAGAAYAWQEAAKgGAAAAAA==&#10;">
              <v:fill on="f" focussize="0,0"/>
              <v:stroke on="f" weight="0.5pt"/>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183.129.140.118:7100/sys/attachment/sys_att_main/jg_service.jsp"/>
  </w:docVars>
  <w:rsids>
    <w:rsidRoot w:val="00CF55D9"/>
    <w:rsid w:val="0002386C"/>
    <w:rsid w:val="00AE5B26"/>
    <w:rsid w:val="00D16358"/>
    <w:rsid w:val="03C80E1A"/>
    <w:rsid w:val="071663F9"/>
    <w:rsid w:val="18E15A00"/>
    <w:rsid w:val="20136F07"/>
    <w:rsid w:val="47DB5DAB"/>
    <w:rsid w:val="5362673F"/>
    <w:rsid w:val="6308761A"/>
    <w:rsid w:val="641164A8"/>
    <w:rsid w:val="7C222E2E"/>
    <w:rsid w:val="7E183375"/>
    <w:rsid w:val="BF9D3830"/>
    <w:rsid w:val="DB7FDB92"/>
    <w:rsid w:val="E3FA7C9A"/>
    <w:rsid w:val="EDFF8BE5"/>
    <w:rsid w:val="EFFE87EE"/>
    <w:rsid w:val="F30BCC2D"/>
    <w:rsid w:val="FF9E16A5"/>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Times New Roman" w:eastAsia="等线" w:cs="Times New Roman"/>
      <w:kern w:val="2"/>
      <w:sz w:val="21"/>
      <w:szCs w:val="22"/>
      <w:lang w:val="en-US" w:eastAsia="zh-CN" w:bidi="ar-SA"/>
    </w:rPr>
  </w:style>
  <w:style w:type="character" w:default="1" w:styleId="6">
    <w:name w:val="Default Paragraph Font"/>
    <w:qFormat/>
    <w:uiPriority w:val="0"/>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ody Text"/>
    <w:qFormat/>
    <w:uiPriority w:val="0"/>
    <w:pPr>
      <w:keepNext w:val="0"/>
      <w:keepLines w:val="0"/>
      <w:widowControl w:val="0"/>
      <w:suppressLineNumbers w:val="0"/>
      <w:spacing w:before="0" w:beforeAutospacing="0" w:after="0" w:afterAutospacing="0"/>
      <w:ind w:left="0" w:right="0"/>
      <w:jc w:val="both"/>
    </w:pPr>
    <w:rPr>
      <w:rFonts w:hint="default" w:ascii="Arial" w:hAnsi="Arial" w:eastAsia="宋体" w:cs="Arial"/>
      <w:kern w:val="2"/>
      <w:sz w:val="18"/>
      <w:szCs w:val="18"/>
      <w:lang w:val="en-US" w:eastAsia="zh-CN" w:bidi="ar"/>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Heading #2|1"/>
    <w:uiPriority w:val="0"/>
    <w:pPr>
      <w:keepNext w:val="0"/>
      <w:keepLines w:val="0"/>
      <w:widowControl w:val="0"/>
      <w:suppressLineNumbers w:val="0"/>
      <w:spacing w:after="800" w:afterAutospacing="0" w:line="612" w:lineRule="exact"/>
      <w:jc w:val="center"/>
      <w:outlineLvl w:val="1"/>
    </w:pPr>
    <w:rPr>
      <w:rFonts w:hint="eastAsia" w:ascii="宋体" w:hAnsi="宋体" w:eastAsia="宋体" w:cs="宋体"/>
      <w:kern w:val="2"/>
      <w:sz w:val="42"/>
      <w:szCs w:val="42"/>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34</Words>
  <Characters>42</Characters>
  <Lines>1</Lines>
  <Paragraphs>1</Paragraphs>
  <TotalTime>0</TotalTime>
  <ScaleCrop>false</ScaleCrop>
  <LinksUpToDate>false</LinksUpToDate>
  <CharactersWithSpaces>42</CharactersWithSpaces>
  <Application>WPS Office WWO_wpscloud_20230822181311-a263048b93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2020-09-05T03:09:00Z</dcterms:created>
  <dc:creator>蓝凌项目组2</dc:creator>
  <cp:lastModifiedBy>Administrator</cp:lastModifiedBy>
  <dcterms:modified xsi:type="dcterms:W3CDTF">2026-06-18T10:01:09Z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38222AED7512D1096D45336A00E05918</vt:lpwstr>
  </property>
  <property fmtid="{D5CDD505-2E9C-101B-9397-08002B2CF9AE}" pid="4" name="KSOTemplateDocerSaveRecord">
    <vt:lpwstr>eyJoZGlkIjoiNGU5YTk2NWU3OTRhNTU0YjZlNWE0ODExMjY4YzM0MTgifQ==</vt:lpwstr>
  </property>
</Properties>
</file>