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Layout w:type="fixed"/>
        <w:tblCellMar>
          <w:top w:w="0" w:type="dxa"/>
          <w:left w:w="0" w:type="dxa"/>
          <w:bottom w:w="0" w:type="dxa"/>
          <w:right w:w="0" w:type="dxa"/>
        </w:tblCellMar>
      </w:tblPr>
      <w:tblGrid>
        <w:gridCol w:w="8843"/>
      </w:tblGrid>
      <w:tr>
        <w:tblPrEx>
          <w:tblCellMar>
            <w:top w:w="0" w:type="dxa"/>
            <w:left w:w="0" w:type="dxa"/>
            <w:bottom w:w="0" w:type="dxa"/>
            <w:right w:w="0" w:type="dxa"/>
          </w:tblCellMar>
        </w:tblPrEx>
        <w:trPr>
          <w:cantSplit/>
          <w:trHeight w:val="1752" w:hRule="atLeast"/>
        </w:trPr>
        <w:tc>
          <w:tcPr>
            <w:tcW w:w="8843" w:type="dxa"/>
            <w:tcBorders>
              <w:top w:val="nil"/>
              <w:left w:val="nil"/>
              <w:bottom w:val="nil"/>
              <w:right w:val="nil"/>
            </w:tcBorders>
            <w:noWrap w:val="0"/>
            <w:vAlign w:val="top"/>
          </w:tcPr>
          <w:p>
            <w:pPr>
              <w:spacing w:before="40" w:line="316" w:lineRule="auto"/>
              <w:rPr>
                <w:rFonts w:hint="eastAsia" w:ascii="黑体" w:eastAsia="黑体" w:cs="黑体"/>
                <w:sz w:val="32"/>
                <w:szCs w:val="20"/>
              </w:rPr>
            </w:pPr>
          </w:p>
          <w:p>
            <w:pPr>
              <w:spacing w:before="40" w:line="316" w:lineRule="auto"/>
              <w:rPr>
                <w:rFonts w:hint="eastAsia" w:ascii="黑体" w:eastAsia="黑体" w:cs="黑体"/>
                <w:szCs w:val="32"/>
              </w:rPr>
            </w:pPr>
          </w:p>
        </w:tc>
      </w:tr>
      <w:tr>
        <w:tblPrEx>
          <w:tblCellMar>
            <w:top w:w="0" w:type="dxa"/>
            <w:left w:w="0" w:type="dxa"/>
            <w:bottom w:w="0" w:type="dxa"/>
            <w:right w:w="0" w:type="dxa"/>
          </w:tblCellMar>
        </w:tblPrEx>
        <w:trPr>
          <w:cantSplit/>
        </w:trPr>
        <w:tc>
          <w:tcPr>
            <w:tcW w:w="8843" w:type="dxa"/>
            <w:tcBorders>
              <w:top w:val="nil"/>
              <w:left w:val="nil"/>
              <w:bottom w:val="nil"/>
              <w:right w:val="nil"/>
            </w:tcBorders>
            <w:noWrap w:val="0"/>
            <w:vAlign w:val="top"/>
          </w:tcPr>
          <w:p>
            <w:pPr>
              <w:adjustRightInd w:val="0"/>
              <w:snapToGrid w:val="0"/>
              <w:spacing w:line="1200" w:lineRule="exact"/>
              <w:jc w:val="center"/>
              <w:rPr>
                <w:rFonts w:hint="eastAsia" w:ascii="方正小标宋简体" w:eastAsia="方正小标宋简体" w:cs="方正小标宋简体"/>
                <w:color w:val="FF0000"/>
                <w:sz w:val="106"/>
                <w:szCs w:val="106"/>
              </w:rPr>
            </w:pPr>
            <w:r>
              <w:rPr>
                <w:rFonts w:ascii="小标宋" w:eastAsia="小标宋"/>
                <w:color w:val="FF0000"/>
                <w:spacing w:val="-40"/>
                <w:sz w:val="72"/>
                <w:szCs w:val="72"/>
              </w:rPr>
              <w:pict>
                <v:shape id="_x0000_i1025" o:spt="136" type="#_x0000_t136" style="height:43.5pt;width:439.5pt;" fillcolor="#FF0000" filled="t" stroked="t" coordsize="21600,21600">
                  <v:path/>
                  <v:fill on="t" focussize="0,0"/>
                  <v:stroke color="#FF0000"/>
                  <v:imagedata o:title=""/>
                  <o:lock v:ext="edit" aspectratio="t"/>
                  <v:textpath on="t" fitshape="t" fitpath="t" trim="t" xscale="f" string="杭州市交通投资集团有限公司文件" style="font-family:小标宋;font-size:36pt;v-rotate-letters:f;v-same-letter-heights:f;v-text-align:center;"/>
                  <w10:wrap type="none"/>
                  <w10:anchorlock/>
                </v:shape>
              </w:pict>
            </w:r>
          </w:p>
        </w:tc>
      </w:tr>
      <w:tr>
        <w:tblPrEx>
          <w:tblCellMar>
            <w:top w:w="0" w:type="dxa"/>
            <w:left w:w="0" w:type="dxa"/>
            <w:bottom w:w="0" w:type="dxa"/>
            <w:right w:w="0" w:type="dxa"/>
          </w:tblCellMar>
        </w:tblPrEx>
        <w:trPr>
          <w:cantSplit/>
          <w:trHeight w:val="921" w:hRule="atLeast"/>
        </w:trPr>
        <w:tc>
          <w:tcPr>
            <w:tcW w:w="8843" w:type="dxa"/>
            <w:tcBorders>
              <w:top w:val="nil"/>
              <w:left w:val="nil"/>
              <w:bottom w:val="nil"/>
              <w:right w:val="nil"/>
            </w:tcBorders>
            <w:noWrap w:val="0"/>
            <w:vAlign w:val="center"/>
          </w:tcPr>
          <w:p>
            <w:pPr>
              <w:rPr>
                <w:rFonts w:hint="eastAsia" w:ascii="仿宋_GB2312" w:eastAsia="仿宋_GB2312"/>
                <w:sz w:val="32"/>
                <w:szCs w:val="20"/>
              </w:rPr>
            </w:pPr>
          </w:p>
        </w:tc>
      </w:tr>
      <w:tr>
        <w:tblPrEx>
          <w:tblCellMar>
            <w:top w:w="0" w:type="dxa"/>
            <w:left w:w="0" w:type="dxa"/>
            <w:bottom w:w="0" w:type="dxa"/>
            <w:right w:w="0" w:type="dxa"/>
          </w:tblCellMar>
        </w:tblPrEx>
        <w:trPr>
          <w:cantSplit/>
        </w:trPr>
        <w:tc>
          <w:tcPr>
            <w:tcW w:w="8843" w:type="dxa"/>
            <w:tcBorders>
              <w:top w:val="nil"/>
              <w:left w:val="nil"/>
              <w:bottom w:val="single" w:color="FF0000" w:sz="24" w:space="0"/>
              <w:right w:val="nil"/>
            </w:tcBorders>
            <w:noWrap w:val="0"/>
            <w:tcMar>
              <w:bottom w:w="227" w:type="dxa"/>
            </w:tcMar>
            <w:vAlign w:val="bottom"/>
          </w:tcPr>
          <w:p>
            <w:pPr>
              <w:spacing w:line="338" w:lineRule="auto"/>
              <w:jc w:val="center"/>
              <w:rPr>
                <w:rFonts w:hint="eastAsia" w:ascii="仿宋_GB2312" w:eastAsia="仿宋_GB2312" w:cs="仿宋_GB2312"/>
                <w:sz w:val="32"/>
                <w:szCs w:val="32"/>
                <w:lang w:eastAsia="zh-CN"/>
              </w:rPr>
            </w:pPr>
            <w:bookmarkStart w:id="0" w:name="doc_mark"/>
            <w:r>
              <w:rPr>
                <w:rFonts w:hint="eastAsia" w:ascii="仿宋_GB2312" w:eastAsia="仿宋_GB2312" w:cs="仿宋_GB2312"/>
                <w:sz w:val="32"/>
                <w:szCs w:val="32"/>
                <w:lang w:eastAsia="zh-CN"/>
              </w:rPr>
              <w:t>杭交投集团〔2026〕57号</w:t>
            </w:r>
            <w:bookmarkEnd w:id="0"/>
          </w:p>
        </w:tc>
      </w:tr>
      <w:tr>
        <w:tblPrEx>
          <w:tblCellMar>
            <w:top w:w="0" w:type="dxa"/>
            <w:left w:w="0" w:type="dxa"/>
            <w:bottom w:w="0" w:type="dxa"/>
            <w:right w:w="0" w:type="dxa"/>
          </w:tblCellMar>
        </w:tblPrEx>
        <w:trPr>
          <w:cantSplit/>
          <w:trHeight w:val="916" w:hRule="atLeast"/>
        </w:trPr>
        <w:tc>
          <w:tcPr>
            <w:tcW w:w="8843" w:type="dxa"/>
            <w:tcBorders>
              <w:top w:val="single" w:color="FF0000" w:sz="24" w:space="0"/>
              <w:left w:val="nil"/>
              <w:bottom w:val="nil"/>
              <w:right w:val="nil"/>
            </w:tcBorders>
            <w:noWrap w:val="0"/>
            <w:vAlign w:val="center"/>
          </w:tcPr>
          <w:p>
            <w:pPr>
              <w:tabs>
                <w:tab w:val="left" w:pos="3808"/>
              </w:tabs>
              <w:jc w:val="center"/>
              <w:rPr>
                <w:rFonts w:hint="eastAsia" w:ascii="仿宋_GB2312" w:hAnsi="仿宋_GB2312"/>
                <w:bCs/>
                <w:sz w:val="32"/>
              </w:rPr>
            </w:pPr>
          </w:p>
          <w:p>
            <w:pPr>
              <w:tabs>
                <w:tab w:val="left" w:pos="3808"/>
              </w:tabs>
              <w:jc w:val="center"/>
              <w:rPr>
                <w:rFonts w:hint="eastAsia" w:ascii="仿宋_GB2312" w:hAnsi="仿宋_GB2312"/>
                <w:bCs/>
              </w:rPr>
            </w:pPr>
          </w:p>
        </w:tc>
      </w:tr>
    </w:tbl>
    <w:p>
      <w:pPr>
        <w:keepNext w:val="0"/>
        <w:keepLines w:val="0"/>
        <w:widowControl w:val="0"/>
        <w:suppressLineNumbers w:val="0"/>
        <w:autoSpaceDE w:val="0"/>
        <w:autoSpaceDN/>
        <w:spacing w:before="0" w:beforeAutospacing="0" w:after="0" w:afterAutospacing="0"/>
        <w:ind w:left="0" w:right="0" w:rightChars="0"/>
        <w:jc w:val="center"/>
        <w:rPr>
          <w:rFonts w:hint="default" w:ascii="方正小标宋简体" w:hAnsi="方正小标宋简体" w:eastAsia="方正小标宋简体" w:cs="方正小标宋简体"/>
          <w:b w:val="0"/>
          <w:bCs w:val="0"/>
          <w:spacing w:val="0"/>
          <w:kern w:val="2"/>
          <w:sz w:val="44"/>
          <w:szCs w:val="44"/>
          <w:lang w:val="en-US" w:eastAsia="zh-CN" w:bidi="ar"/>
        </w:rPr>
      </w:pPr>
      <w:bookmarkStart w:id="1" w:name="Content"/>
      <w:bookmarkEnd w:id="1"/>
      <w:r>
        <w:rPr>
          <w:rFonts w:hint="default" w:ascii="方正小标宋简体" w:hAnsi="方正小标宋简体" w:eastAsia="方正小标宋简体" w:cs="方正小标宋简体"/>
          <w:b w:val="0"/>
          <w:bCs w:val="0"/>
          <w:spacing w:val="0"/>
          <w:kern w:val="2"/>
          <w:sz w:val="44"/>
          <w:szCs w:val="44"/>
          <w:lang w:val="en-US" w:eastAsia="zh-CN" w:bidi="ar"/>
        </w:rPr>
        <w:t>关于印发《杭州市交通投资集团有限公司</w:t>
      </w:r>
    </w:p>
    <w:p>
      <w:pPr>
        <w:keepNext w:val="0"/>
        <w:keepLines w:val="0"/>
        <w:widowControl w:val="0"/>
        <w:suppressLineNumbers w:val="0"/>
        <w:autoSpaceDE w:val="0"/>
        <w:autoSpaceDN/>
        <w:spacing w:before="0" w:beforeAutospacing="0" w:after="0" w:afterAutospacing="0"/>
        <w:ind w:left="0" w:right="0" w:rightChars="0"/>
        <w:jc w:val="center"/>
        <w:rPr>
          <w:rFonts w:hint="default" w:ascii="方正小标宋简体" w:hAnsi="方正小标宋简体" w:eastAsia="方正小标宋简体" w:cs="方正小标宋简体"/>
          <w:b w:val="0"/>
          <w:bCs w:val="0"/>
          <w:kern w:val="2"/>
          <w:sz w:val="44"/>
          <w:szCs w:val="44"/>
        </w:rPr>
      </w:pPr>
      <w:r>
        <w:rPr>
          <w:rFonts w:hint="default" w:ascii="方正小标宋简体" w:hAnsi="方正小标宋简体" w:eastAsia="方正小标宋简体" w:cs="方正小标宋简体"/>
          <w:b w:val="0"/>
          <w:bCs w:val="0"/>
          <w:spacing w:val="0"/>
          <w:kern w:val="2"/>
          <w:sz w:val="44"/>
          <w:szCs w:val="44"/>
          <w:lang w:val="en-US" w:eastAsia="zh-CN" w:bidi="ar"/>
        </w:rPr>
        <w:t>国有房产出租管理办法》的通知</w:t>
      </w:r>
    </w:p>
    <w:p>
      <w:pPr>
        <w:pStyle w:val="4"/>
        <w:keepNext w:val="0"/>
        <w:keepLines w:val="0"/>
        <w:widowControl w:val="0"/>
        <w:suppressLineNumbers w:val="0"/>
        <w:autoSpaceDE w:val="0"/>
        <w:autoSpaceDN/>
        <w:spacing w:before="0" w:beforeAutospacing="0" w:after="0" w:afterAutospacing="0" w:line="520" w:lineRule="exact"/>
        <w:ind w:left="0" w:right="0" w:firstLine="360" w:firstLineChars="200"/>
        <w:jc w:val="both"/>
        <w:rPr>
          <w:rFonts w:hint="eastAsia" w:ascii="仿宋_GB2312" w:eastAsia="仿宋_GB2312" w:cs="仿宋_GB2312"/>
          <w:kern w:val="2"/>
          <w:sz w:val="32"/>
          <w:szCs w:val="32"/>
        </w:rPr>
      </w:pPr>
      <w:r>
        <w:rPr>
          <w:rFonts w:hint="default" w:ascii="Arial" w:hAnsi="Arial" w:eastAsia="宋体" w:cs="Arial"/>
          <w:kern w:val="2"/>
          <w:sz w:val="18"/>
          <w:szCs w:val="18"/>
          <w:lang w:val="en-US" w:eastAsia="zh-CN" w:bidi="ar"/>
        </w:rPr>
        <w:t xml:space="preserve"> </w:t>
      </w:r>
    </w:p>
    <w:p>
      <w:pPr>
        <w:spacing w:line="560" w:lineRule="exac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各单位、集团公司各部室：</w:t>
      </w:r>
    </w:p>
    <w:p>
      <w:pPr>
        <w:spacing w:line="560" w:lineRule="exact"/>
        <w:ind w:left="0" w:leftChars="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现将修订后的《杭州市交通投资集团有限公司国有房产出租管理办法》印发给你们，请认真贯彻落实，遵照执行。</w:t>
      </w:r>
    </w:p>
    <w:p>
      <w:pPr>
        <w:spacing w:line="560" w:lineRule="exact"/>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pPr>
        <w:spacing w:line="560" w:lineRule="exact"/>
        <w:rPr>
          <w:rFonts w:hint="eastAsia" w:ascii="仿宋_GB2312" w:hAnsi="仿宋_GB2312" w:eastAsia="仿宋_GB2312" w:cs="仿宋_GB2312"/>
          <w:sz w:val="32"/>
          <w:szCs w:val="32"/>
          <w:lang w:val="en-US" w:eastAsia="zh-CN"/>
        </w:rPr>
      </w:pPr>
    </w:p>
    <w:p>
      <w:pPr>
        <w:spacing w:line="560" w:lineRule="exact"/>
        <w:jc w:val="right"/>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xml:space="preserve">                  杭州市交通投资集团有限公司</w:t>
      </w:r>
    </w:p>
    <w:p>
      <w:pPr>
        <w:spacing w:line="560" w:lineRule="exact"/>
        <w:ind w:left="0" w:leftChars="0" w:right="840" w:rightChars="400" w:firstLine="0" w:firstLineChars="0"/>
        <w:jc w:val="right"/>
      </w:pPr>
      <w:r>
        <w:rPr>
          <w:rFonts w:hint="eastAsia" w:ascii="仿宋_GB2312" w:hAnsi="仿宋_GB2312" w:eastAsia="仿宋_GB2312" w:cs="仿宋_GB2312"/>
          <w:sz w:val="32"/>
          <w:szCs w:val="32"/>
          <w:lang w:val="en-US" w:eastAsia="zh-CN"/>
        </w:rPr>
        <w:t xml:space="preserve">                  2026年6月1</w:t>
      </w:r>
      <w:r>
        <w:rPr>
          <w:rFonts w:hint="default" w:ascii="仿宋_GB2312" w:hAnsi="仿宋_GB2312" w:eastAsia="仿宋_GB2312" w:cs="仿宋_GB2312"/>
          <w:sz w:val="32"/>
          <w:szCs w:val="32"/>
          <w:lang w:eastAsia="zh-CN"/>
        </w:rPr>
        <w:t>7</w:t>
      </w:r>
      <w:r>
        <w:rPr>
          <w:rFonts w:hint="eastAsia" w:ascii="仿宋_GB2312" w:hAnsi="仿宋_GB2312" w:eastAsia="仿宋_GB2312" w:cs="仿宋_GB2312"/>
          <w:sz w:val="32"/>
          <w:szCs w:val="32"/>
          <w:lang w:val="en-US" w:eastAsia="zh-CN"/>
        </w:rPr>
        <w:t>日</w:t>
      </w:r>
    </w:p>
    <w:p>
      <w:pPr>
        <w:rPr>
          <w:rFonts w:hint="eastAsia" w:ascii="仿宋_GB2312" w:eastAsia="仿宋_GB2312" w:cs="仿宋_GB2312"/>
          <w:kern w:val="2"/>
          <w:sz w:val="32"/>
          <w:szCs w:val="32"/>
        </w:rPr>
        <w:sectPr>
          <w:footerReference r:id="rId3" w:type="default"/>
          <w:footerReference r:id="rId4" w:type="even"/>
          <w:pgSz w:w="11905" w:h="16838"/>
          <w:pgMar w:top="1712" w:right="1474" w:bottom="935" w:left="1587" w:header="851" w:footer="992" w:gutter="0"/>
          <w:pgNumType w:fmt="decimal"/>
          <w:cols w:space="720" w:num="1"/>
          <w:docGrid w:type="lines" w:linePitch="312" w:charSpace="0"/>
        </w:sectPr>
      </w:pPr>
    </w:p>
    <w:p>
      <w:pPr>
        <w:keepNext w:val="0"/>
        <w:keepLines w:val="0"/>
        <w:widowControl w:val="0"/>
        <w:suppressLineNumbers w:val="0"/>
        <w:autoSpaceDE w:val="0"/>
        <w:autoSpaceDN/>
        <w:spacing w:before="0" w:beforeAutospacing="0" w:after="0" w:afterAutospacing="0"/>
        <w:ind w:left="0" w:right="0" w:rightChars="0"/>
        <w:jc w:val="center"/>
        <w:rPr>
          <w:rFonts w:hint="default" w:ascii="方正小标宋简体" w:hAnsi="方正小标宋简体" w:eastAsia="方正小标宋简体" w:cs="方正小标宋简体"/>
          <w:b w:val="0"/>
          <w:bCs w:val="0"/>
          <w:spacing w:val="0"/>
          <w:kern w:val="2"/>
          <w:sz w:val="44"/>
          <w:szCs w:val="44"/>
          <w:lang w:val="en-US" w:eastAsia="zh-CN" w:bidi="ar"/>
        </w:rPr>
      </w:pPr>
      <w:r>
        <w:rPr>
          <w:rFonts w:hint="default" w:ascii="方正小标宋简体" w:hAnsi="方正小标宋简体" w:eastAsia="方正小标宋简体" w:cs="方正小标宋简体"/>
          <w:b w:val="0"/>
          <w:bCs w:val="0"/>
          <w:spacing w:val="0"/>
          <w:kern w:val="2"/>
          <w:sz w:val="44"/>
          <w:szCs w:val="44"/>
          <w:lang w:val="en-US" w:eastAsia="zh-CN" w:bidi="ar"/>
        </w:rPr>
        <w:t>杭州市交通投资集团有限公司</w:t>
      </w:r>
    </w:p>
    <w:p>
      <w:pPr>
        <w:keepNext w:val="0"/>
        <w:keepLines w:val="0"/>
        <w:widowControl w:val="0"/>
        <w:suppressLineNumbers w:val="0"/>
        <w:autoSpaceDE w:val="0"/>
        <w:autoSpaceDN/>
        <w:spacing w:before="0" w:beforeAutospacing="0" w:after="0" w:afterAutospacing="0"/>
        <w:ind w:left="0" w:right="0" w:rightChars="0"/>
        <w:jc w:val="center"/>
        <w:rPr>
          <w:rFonts w:hint="default" w:ascii="方正小标宋简体" w:hAnsi="方正小标宋简体" w:eastAsia="方正小标宋简体" w:cs="方正小标宋简体"/>
          <w:b w:val="0"/>
          <w:bCs w:val="0"/>
          <w:spacing w:val="0"/>
          <w:kern w:val="2"/>
          <w:sz w:val="44"/>
          <w:szCs w:val="44"/>
          <w:lang w:val="en-US" w:eastAsia="zh-CN" w:bidi="ar"/>
        </w:rPr>
      </w:pPr>
      <w:r>
        <w:rPr>
          <w:rFonts w:hint="default" w:ascii="方正小标宋简体" w:hAnsi="方正小标宋简体" w:eastAsia="方正小标宋简体" w:cs="方正小标宋简体"/>
          <w:b w:val="0"/>
          <w:bCs w:val="0"/>
          <w:spacing w:val="0"/>
          <w:kern w:val="2"/>
          <w:sz w:val="44"/>
          <w:szCs w:val="44"/>
          <w:lang w:val="en-US" w:eastAsia="zh-CN" w:bidi="ar"/>
        </w:rPr>
        <w:t>国有房产出租管理办法</w:t>
      </w:r>
    </w:p>
    <w:p>
      <w:pPr>
        <w:keepNext w:val="0"/>
        <w:keepLines w:val="0"/>
        <w:widowControl w:val="0"/>
        <w:suppressLineNumbers w:val="0"/>
        <w:autoSpaceDE w:val="0"/>
        <w:autoSpaceDN/>
        <w:spacing w:before="0" w:beforeAutospacing="0" w:after="0" w:afterAutospacing="0"/>
        <w:ind w:left="0" w:right="0" w:rightChars="0"/>
        <w:jc w:val="center"/>
        <w:rPr>
          <w:rFonts w:hint="default" w:ascii="方正小标宋简体" w:hAnsi="方正小标宋简体" w:eastAsia="方正小标宋简体" w:cs="方正小标宋简体"/>
          <w:b w:val="0"/>
          <w:bCs w:val="0"/>
          <w:spacing w:val="0"/>
          <w:kern w:val="2"/>
          <w:sz w:val="44"/>
          <w:szCs w:val="44"/>
          <w:lang w:val="en-US" w:eastAsia="zh-CN" w:bidi="ar"/>
        </w:rPr>
      </w:pPr>
    </w:p>
    <w:p>
      <w:pPr>
        <w:keepNext w:val="0"/>
        <w:keepLines w:val="0"/>
        <w:widowControl/>
        <w:suppressLineNumbers w:val="0"/>
        <w:autoSpaceDE w:val="0"/>
        <w:autoSpaceDN/>
        <w:adjustRightInd w:val="0"/>
        <w:snapToGrid w:val="0"/>
        <w:spacing w:before="0" w:beforeAutospacing="0" w:after="0" w:afterAutospacing="0" w:line="560" w:lineRule="exact"/>
        <w:ind w:left="0" w:right="0"/>
        <w:jc w:val="center"/>
        <w:rPr>
          <w:rFonts w:hint="default" w:ascii="方正小标宋简体" w:hAnsi="方正小标宋简体" w:eastAsia="方正小标宋简体" w:cs="方正小标宋简体"/>
          <w:b w:val="0"/>
          <w:bCs w:val="0"/>
          <w:spacing w:val="0"/>
          <w:kern w:val="2"/>
          <w:sz w:val="32"/>
          <w:szCs w:val="32"/>
          <w:lang w:eastAsia="zh-CN" w:bidi="ar"/>
        </w:rPr>
      </w:pPr>
      <w:r>
        <w:rPr>
          <w:rFonts w:hint="default" w:ascii="黑体" w:hAnsi="宋体" w:eastAsia="黑体" w:cs="黑体"/>
          <w:b w:val="0"/>
          <w:bCs w:val="0"/>
          <w:kern w:val="0"/>
          <w:sz w:val="32"/>
          <w:szCs w:val="32"/>
          <w:lang w:val="en-US" w:eastAsia="zh-CN" w:bidi="ar"/>
        </w:rPr>
        <w:t>第</w:t>
      </w:r>
      <w:r>
        <w:rPr>
          <w:rFonts w:hint="default" w:ascii="黑体" w:hAnsi="宋体" w:eastAsia="黑体" w:cs="黑体"/>
          <w:b w:val="0"/>
          <w:bCs w:val="0"/>
          <w:kern w:val="0"/>
          <w:sz w:val="32"/>
          <w:szCs w:val="32"/>
          <w:lang w:eastAsia="zh-CN" w:bidi="ar"/>
        </w:rPr>
        <w:t>一</w:t>
      </w:r>
      <w:r>
        <w:rPr>
          <w:rFonts w:hint="default" w:ascii="黑体" w:hAnsi="宋体" w:eastAsia="黑体" w:cs="黑体"/>
          <w:b w:val="0"/>
          <w:bCs w:val="0"/>
          <w:kern w:val="0"/>
          <w:sz w:val="32"/>
          <w:szCs w:val="32"/>
          <w:lang w:val="en-US" w:eastAsia="zh-CN" w:bidi="ar"/>
        </w:rPr>
        <w:t>章</w:t>
      </w:r>
      <w:r>
        <w:rPr>
          <w:rFonts w:hint="default" w:ascii="Times New Roman" w:hAnsi="Times New Roman" w:eastAsia="黑体" w:cs="Times New Roman"/>
          <w:b w:val="0"/>
          <w:bCs w:val="0"/>
          <w:kern w:val="0"/>
          <w:sz w:val="32"/>
          <w:szCs w:val="32"/>
          <w:lang w:val="en-US" w:eastAsia="zh-CN" w:bidi="ar"/>
        </w:rPr>
        <w:t xml:space="preserve">  </w:t>
      </w:r>
      <w:r>
        <w:rPr>
          <w:rFonts w:hint="default" w:ascii="Times New Roman" w:eastAsia="黑体" w:cs="Times New Roman"/>
          <w:b w:val="0"/>
          <w:bCs w:val="0"/>
          <w:kern w:val="0"/>
          <w:sz w:val="32"/>
          <w:szCs w:val="32"/>
          <w:lang w:eastAsia="zh-CN" w:bidi="ar"/>
        </w:rPr>
        <w:t>总则</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eastAsia" w:ascii="楷体_GB2312" w:hAnsi="楷体_GB2312" w:eastAsia="楷体_GB2312" w:cs="楷体_GB2312"/>
          <w:b/>
          <w:bCs/>
          <w:kern w:val="2"/>
          <w:sz w:val="32"/>
          <w:szCs w:val="32"/>
          <w:lang w:val="en-US" w:eastAsia="zh-CN" w:bidi="ar"/>
        </w:rPr>
        <w:t>第一条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为进一步规范杭州市交通投资集团有限公司（以下简称</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集团公司</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）国有房产出租行为，提高国有资产经营效益，推进清廉国企建设，根据《中华人民共和国企业国有资产法》《企业国有资产交易监督管理办法》等相关法律法规，结合集团公司实际，制定本办法。</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第二条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本办法适用于集团公司本级</w:t>
      </w:r>
      <w:r>
        <w:rPr>
          <w:rFonts w:hint="eastAsia" w:ascii="仿宋_GB2312" w:hAnsi="Times New Roman" w:eastAsia="仿宋_GB2312" w:cs="仿宋_GB2312"/>
          <w:b w:val="0"/>
          <w:bCs w:val="0"/>
          <w:kern w:val="0"/>
          <w:sz w:val="32"/>
          <w:szCs w:val="32"/>
          <w:lang w:val="en-US" w:eastAsia="zh-CN" w:bidi="ar"/>
        </w:rPr>
        <w:t>及其所属各级全资、控股、</w:t>
      </w:r>
      <w:r>
        <w:rPr>
          <w:rFonts w:hint="eastAsia" w:ascii="仿宋_GB2312" w:hAnsi="Times New Roman" w:eastAsia="仿宋_GB2312" w:cs="仿宋_GB2312"/>
          <w:b w:val="0"/>
          <w:bCs w:val="0"/>
          <w:kern w:val="2"/>
          <w:sz w:val="32"/>
          <w:szCs w:val="32"/>
          <w:lang w:val="en-US" w:eastAsia="zh-CN" w:bidi="ar"/>
        </w:rPr>
        <w:t>实际控制企业</w:t>
      </w:r>
      <w:r>
        <w:rPr>
          <w:rFonts w:hint="eastAsia" w:ascii="仿宋_GB2312" w:hAnsi="Times New Roman" w:eastAsia="仿宋_GB2312" w:cs="仿宋_GB2312"/>
          <w:b w:val="0"/>
          <w:bCs w:val="0"/>
          <w:kern w:val="0"/>
          <w:sz w:val="32"/>
          <w:szCs w:val="32"/>
          <w:lang w:val="en-US" w:eastAsia="zh-CN" w:bidi="ar"/>
        </w:rPr>
        <w:t>（以下统称企业）国有房产出租行为</w:t>
      </w:r>
      <w:r>
        <w:rPr>
          <w:rFonts w:hint="eastAsia" w:ascii="仿宋_GB2312" w:hAnsi="Times New Roman" w:eastAsia="仿宋_GB2312" w:cs="仿宋_GB2312"/>
          <w:b w:val="0"/>
          <w:bCs w:val="0"/>
          <w:kern w:val="2"/>
          <w:sz w:val="32"/>
          <w:szCs w:val="32"/>
          <w:lang w:val="en-US" w:eastAsia="zh-CN" w:bidi="ar"/>
        </w:rPr>
        <w:t>。</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第三条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本办法所称经营性房产是指企业自有、受托管理或实际掌握控制权的具有商业服务、办公、生产、仓储、居住等功能的用房及构筑物等（以下简称</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房产</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）。经市国资委认定由专业公司经营的专业房产（商业综合体、专业市场、产业园区、物流园区、长租公寓等）可不适用本办法。</w:t>
      </w:r>
    </w:p>
    <w:p>
      <w:pPr>
        <w:keepNext w:val="0"/>
        <w:keepLines w:val="0"/>
        <w:widowControl/>
        <w:suppressLineNumbers w:val="0"/>
        <w:autoSpaceDE w:val="0"/>
        <w:autoSpaceDN/>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b w:val="0"/>
          <w:bCs w:val="0"/>
          <w:kern w:val="2"/>
          <w:sz w:val="32"/>
          <w:szCs w:val="32"/>
        </w:rPr>
      </w:pPr>
      <w:r>
        <w:rPr>
          <w:rFonts w:hint="eastAsia" w:ascii="仿宋_GB2312" w:hAnsi="Times New Roman" w:eastAsia="仿宋_GB2312" w:cs="仿宋_GB2312"/>
          <w:b w:val="0"/>
          <w:bCs w:val="0"/>
          <w:kern w:val="2"/>
          <w:sz w:val="32"/>
          <w:szCs w:val="32"/>
          <w:lang w:val="en-US" w:eastAsia="zh-CN" w:bidi="ar"/>
        </w:rPr>
        <w:t>房产出租是指企业将经营性房产出租给自然人、法人以及其它社会组织（以下简称</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承租人</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）使用，向承租人收取租金的经营行为。</w:t>
      </w:r>
    </w:p>
    <w:p>
      <w:pPr>
        <w:pStyle w:val="4"/>
        <w:keepNext w:val="0"/>
        <w:keepLines w:val="0"/>
        <w:widowControl/>
        <w:suppressLineNumbers w:val="0"/>
        <w:spacing w:before="0" w:beforeAutospacing="0" w:after="0" w:afterAutospacing="0" w:line="560" w:lineRule="exact"/>
        <w:ind w:left="0" w:right="0"/>
        <w:jc w:val="both"/>
        <w:rPr>
          <w:rFonts w:hint="default" w:ascii="Times New Roman" w:hAnsi="Times New Roman" w:eastAsia="宋体" w:cs="Times New Roman"/>
          <w:kern w:val="2"/>
          <w:sz w:val="18"/>
          <w:szCs w:val="18"/>
        </w:rPr>
      </w:pPr>
      <w:r>
        <w:rPr>
          <w:rFonts w:hint="default" w:ascii="Times New Roman" w:hAnsi="Times New Roman" w:eastAsia="宋体" w:cs="Times New Roman"/>
          <w:kern w:val="2"/>
          <w:sz w:val="18"/>
          <w:szCs w:val="18"/>
          <w:lang w:val="en-US" w:eastAsia="zh-CN" w:bidi="ar"/>
        </w:rPr>
        <w:t xml:space="preserve"> </w:t>
      </w:r>
    </w:p>
    <w:p>
      <w:pPr>
        <w:keepNext w:val="0"/>
        <w:keepLines w:val="0"/>
        <w:widowControl/>
        <w:suppressLineNumbers w:val="0"/>
        <w:autoSpaceDE w:val="0"/>
        <w:autoSpaceDN/>
        <w:adjustRightInd w:val="0"/>
        <w:snapToGrid w:val="0"/>
        <w:spacing w:before="0" w:beforeAutospacing="0" w:after="0" w:afterAutospacing="0" w:line="560" w:lineRule="exact"/>
        <w:ind w:left="0" w:right="0"/>
        <w:jc w:val="center"/>
        <w:rPr>
          <w:rFonts w:hint="default" w:ascii="Times New Roman" w:hAnsi="Times New Roman" w:eastAsia="黑体" w:cs="Times New Roman"/>
          <w:b w:val="0"/>
          <w:bCs w:val="0"/>
          <w:kern w:val="0"/>
          <w:sz w:val="32"/>
          <w:szCs w:val="32"/>
        </w:rPr>
      </w:pPr>
      <w:r>
        <w:rPr>
          <w:rFonts w:hint="default" w:ascii="黑体" w:hAnsi="宋体" w:eastAsia="黑体" w:cs="黑体"/>
          <w:b w:val="0"/>
          <w:bCs w:val="0"/>
          <w:kern w:val="0"/>
          <w:sz w:val="32"/>
          <w:szCs w:val="32"/>
          <w:lang w:val="en-US" w:eastAsia="zh-CN" w:bidi="ar"/>
        </w:rPr>
        <w:t>第二章</w:t>
      </w:r>
      <w:r>
        <w:rPr>
          <w:rFonts w:hint="default" w:ascii="Times New Roman" w:hAnsi="Times New Roman" w:eastAsia="黑体" w:cs="Times New Roman"/>
          <w:b w:val="0"/>
          <w:bCs w:val="0"/>
          <w:kern w:val="0"/>
          <w:sz w:val="32"/>
          <w:szCs w:val="32"/>
          <w:lang w:val="en-US" w:eastAsia="zh-CN" w:bidi="ar"/>
        </w:rPr>
        <w:t xml:space="preserve">  </w:t>
      </w:r>
      <w:r>
        <w:rPr>
          <w:rFonts w:hint="default" w:ascii="黑体" w:hAnsi="宋体" w:eastAsia="黑体" w:cs="黑体"/>
          <w:b w:val="0"/>
          <w:bCs w:val="0"/>
          <w:kern w:val="0"/>
          <w:sz w:val="32"/>
          <w:szCs w:val="32"/>
          <w:lang w:val="en-US" w:eastAsia="zh-CN" w:bidi="ar"/>
        </w:rPr>
        <w:t>管理职责</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eastAsia" w:ascii="仿宋_GB2312" w:hAnsi="Times New Roman" w:eastAsia="仿宋_GB2312" w:cs="仿宋_GB2312"/>
          <w:b w:val="0"/>
          <w:bCs w:val="0"/>
          <w:kern w:val="2"/>
          <w:sz w:val="32"/>
          <w:szCs w:val="32"/>
          <w:lang w:val="en-US" w:eastAsia="zh-CN" w:bidi="ar"/>
        </w:rPr>
      </w:pPr>
      <w:r>
        <w:rPr>
          <w:rFonts w:hint="default" w:ascii="楷体_GB2312" w:hAnsi="楷体_GB2312" w:eastAsia="楷体_GB2312" w:cs="楷体_GB2312"/>
          <w:b/>
          <w:bCs/>
          <w:kern w:val="2"/>
          <w:sz w:val="32"/>
          <w:szCs w:val="32"/>
          <w:lang w:val="en-US" w:eastAsia="zh-CN" w:bidi="ar"/>
        </w:rPr>
        <w:t>第四条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集团公司为房产出租工作的监管主体，负责指导督促企业建立健全房产出租管理制度，监督检查房产出租管理制度的执行情况，强化集团管控，加强所属企业房产出租的日常管理与监督检查，严肃查处违规行为。对企业造成国有资产损失或其他严重不良后果的违规行为进行责任追究。</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highlight w:val="yellow"/>
        </w:rPr>
      </w:pPr>
      <w:r>
        <w:rPr>
          <w:rFonts w:hint="default" w:ascii="楷体_GB2312" w:hAnsi="楷体_GB2312" w:eastAsia="楷体_GB2312" w:cs="楷体_GB2312"/>
          <w:b/>
          <w:bCs/>
          <w:kern w:val="2"/>
          <w:sz w:val="32"/>
          <w:szCs w:val="32"/>
          <w:lang w:val="en-US" w:eastAsia="zh-CN" w:bidi="ar"/>
        </w:rPr>
        <w:t>第五条</w:t>
      </w:r>
      <w:r>
        <w:rPr>
          <w:rFonts w:hint="default" w:ascii="Times New Roman" w:hAnsi="Times New Roman" w:eastAsia="黑体" w:cs="Times New Roman"/>
          <w:b w:val="0"/>
          <w:bCs w:val="0"/>
          <w:kern w:val="0"/>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集团公司建设集</w:t>
      </w:r>
      <w:r>
        <w:rPr>
          <w:rFonts w:hint="eastAsia" w:ascii="仿宋_GB2312" w:hAnsi="Times New Roman" w:eastAsia="仿宋_GB2312" w:cs="仿宋_GB2312"/>
          <w:b w:val="0"/>
          <w:bCs w:val="0"/>
          <w:kern w:val="0"/>
          <w:sz w:val="32"/>
          <w:szCs w:val="32"/>
          <w:lang w:val="en-US" w:eastAsia="zh-CN" w:bidi="ar"/>
        </w:rPr>
        <w:t>招租招商服务、运营管理服务、监督管理服务等功能于一体的杭州交投数智房产运营平台（以下简称“集团房产运营平台”），</w:t>
      </w:r>
      <w:r>
        <w:rPr>
          <w:rFonts w:hint="eastAsia" w:ascii="仿宋_GB2312" w:hAnsi="Times New Roman" w:eastAsia="仿宋_GB2312" w:cs="仿宋_GB2312"/>
          <w:b w:val="0"/>
          <w:bCs w:val="0"/>
          <w:kern w:val="2"/>
          <w:sz w:val="32"/>
          <w:szCs w:val="32"/>
          <w:lang w:val="en-US" w:eastAsia="zh-CN" w:bidi="ar"/>
        </w:rPr>
        <w:t>委托杭州交通资产管理有限公司负责日常运营，房产运营平台工作规程另行制定。</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第六条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企业为房产出租工作的实施主体，负责制定本企业房产出租管理制度，并报集团公司备案；运用集团房产运营平台加强企业房产出租管理，建立管理台账，全面准确掌握出租动态；规范组织实施房产出租工作。</w:t>
      </w:r>
    </w:p>
    <w:p>
      <w:pPr>
        <w:keepNext w:val="0"/>
        <w:keepLines w:val="0"/>
        <w:widowControl/>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第七条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国有房产出租工作由集团公司统一领导，分级管理，企业纪检监察部门负责国有房产出租的再监督工作，集团公司资产管理部负责集团系统国有房产出租业务的指导和管理。</w:t>
      </w:r>
    </w:p>
    <w:p>
      <w:pPr>
        <w:pStyle w:val="4"/>
        <w:keepNext w:val="0"/>
        <w:keepLines w:val="0"/>
        <w:widowControl/>
        <w:suppressLineNumbers w:val="0"/>
        <w:spacing w:before="0" w:beforeAutospacing="0" w:after="0" w:afterAutospacing="0" w:line="560" w:lineRule="exact"/>
        <w:ind w:left="0" w:right="0"/>
        <w:jc w:val="both"/>
        <w:rPr>
          <w:rFonts w:hint="default" w:ascii="Times New Roman" w:hAnsi="Times New Roman" w:eastAsia="宋体" w:cs="Times New Roman"/>
          <w:kern w:val="2"/>
          <w:sz w:val="18"/>
          <w:szCs w:val="18"/>
        </w:rPr>
      </w:pPr>
      <w:r>
        <w:rPr>
          <w:rFonts w:hint="default" w:ascii="Times New Roman" w:hAnsi="Times New Roman" w:eastAsia="宋体" w:cs="Times New Roman"/>
          <w:kern w:val="2"/>
          <w:sz w:val="18"/>
          <w:szCs w:val="18"/>
          <w:lang w:val="en-US" w:eastAsia="zh-CN" w:bidi="ar"/>
        </w:rPr>
        <w:t xml:space="preserve"> </w:t>
      </w:r>
    </w:p>
    <w:p>
      <w:pPr>
        <w:keepNext w:val="0"/>
        <w:keepLines w:val="0"/>
        <w:widowControl/>
        <w:suppressLineNumbers w:val="0"/>
        <w:autoSpaceDE w:val="0"/>
        <w:autoSpaceDN/>
        <w:adjustRightInd w:val="0"/>
        <w:snapToGrid w:val="0"/>
        <w:spacing w:before="0" w:beforeAutospacing="0" w:after="0" w:afterAutospacing="0" w:line="560" w:lineRule="exact"/>
        <w:ind w:left="0" w:right="0" w:firstLine="0"/>
        <w:jc w:val="center"/>
        <w:rPr>
          <w:rFonts w:hint="default" w:ascii="Times New Roman" w:hAnsi="Times New Roman" w:eastAsia="黑体" w:cs="Times New Roman"/>
          <w:b w:val="0"/>
          <w:bCs w:val="0"/>
          <w:kern w:val="0"/>
          <w:sz w:val="32"/>
          <w:szCs w:val="32"/>
        </w:rPr>
      </w:pPr>
      <w:r>
        <w:rPr>
          <w:rFonts w:hint="default" w:ascii="黑体" w:hAnsi="宋体" w:eastAsia="黑体" w:cs="黑体"/>
          <w:b w:val="0"/>
          <w:bCs w:val="0"/>
          <w:kern w:val="0"/>
          <w:sz w:val="32"/>
          <w:szCs w:val="32"/>
          <w:lang w:val="en-US" w:eastAsia="zh-CN" w:bidi="ar"/>
        </w:rPr>
        <w:t>第三章</w:t>
      </w:r>
      <w:r>
        <w:rPr>
          <w:rFonts w:hint="default" w:ascii="Times New Roman" w:hAnsi="Times New Roman" w:eastAsia="黑体" w:cs="Times New Roman"/>
          <w:b w:val="0"/>
          <w:bCs w:val="0"/>
          <w:kern w:val="0"/>
          <w:sz w:val="32"/>
          <w:szCs w:val="32"/>
          <w:lang w:val="en-US" w:eastAsia="zh-CN" w:bidi="ar"/>
        </w:rPr>
        <w:t xml:space="preserve">  </w:t>
      </w:r>
      <w:r>
        <w:rPr>
          <w:rFonts w:hint="default" w:ascii="黑体" w:hAnsi="宋体" w:eastAsia="黑体" w:cs="黑体"/>
          <w:b w:val="0"/>
          <w:bCs w:val="0"/>
          <w:kern w:val="0"/>
          <w:sz w:val="32"/>
          <w:szCs w:val="32"/>
          <w:lang w:val="en-US" w:eastAsia="zh-CN" w:bidi="ar"/>
        </w:rPr>
        <w:t>管理要求</w:t>
      </w:r>
    </w:p>
    <w:p>
      <w:pPr>
        <w:keepNext w:val="0"/>
        <w:keepLines w:val="0"/>
        <w:widowControl/>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第八条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企业房产出租管理相关制度须明确房产出租管理的责任部门、管理权限、决策程序和工作流程等内容，建立</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制定方案、决策审批、实施招租、日常管理、风险防控、监督检查、责任追究</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的闭环管理流程，做到事前、事中、事后全过程监管。</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黑体"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第九条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企业房产出租前应制定合理的招租方案。招租方案包括但不仅限于房产的基本情况、出租期限、租金底价及确定依据、租金递增幅度、招租方式、租金收付方式等内容。</w:t>
      </w:r>
    </w:p>
    <w:p>
      <w:pPr>
        <w:keepNext w:val="0"/>
        <w:keepLines w:val="0"/>
        <w:widowControl w:val="0"/>
        <w:suppressLineNumbers w:val="0"/>
        <w:autoSpaceDE w:val="0"/>
        <w:autoSpaceDN/>
        <w:spacing w:before="0" w:beforeAutospacing="0" w:after="0" w:afterAutospacing="0" w:line="560" w:lineRule="exact"/>
        <w:ind w:left="30" w:right="19" w:firstLine="650" w:firstLineChars="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 xml:space="preserve">第十条 </w:t>
      </w:r>
      <w:r>
        <w:rPr>
          <w:rFonts w:hint="eastAsia" w:ascii="仿宋_GB2312" w:hAnsi="Times New Roman" w:eastAsia="仿宋_GB2312" w:cs="仿宋_GB2312"/>
          <w:b w:val="0"/>
          <w:bCs w:val="0"/>
          <w:kern w:val="2"/>
          <w:sz w:val="32"/>
          <w:szCs w:val="32"/>
          <w:lang w:val="en-US" w:eastAsia="zh-CN" w:bidi="ar"/>
        </w:rPr>
        <w:t>企业房产出租前应委托有资质的中介机构，根据房产价值、所处地段、租赁市场行情等因素，对租金进行评估，以评估结果作为确定租金底价的依据。符合国务院国资委、杭州市国资委有关优化评估管理制度规定可以免于评估的情形，从其规定。依据集团资产评估管理有关制度规定可以不评估的项目，以企业的定价报告作为确定租金底价的依据。</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b w:val="0"/>
          <w:bCs w:val="0"/>
          <w:kern w:val="2"/>
          <w:sz w:val="32"/>
          <w:szCs w:val="32"/>
        </w:rPr>
      </w:pPr>
      <w:r>
        <w:rPr>
          <w:rFonts w:hint="eastAsia" w:ascii="仿宋_GB2312" w:hAnsi="Times New Roman" w:eastAsia="仿宋_GB2312" w:cs="仿宋_GB2312"/>
          <w:b w:val="0"/>
          <w:bCs w:val="0"/>
          <w:kern w:val="2"/>
          <w:sz w:val="32"/>
          <w:szCs w:val="32"/>
          <w:lang w:val="en-US" w:eastAsia="zh-CN" w:bidi="ar"/>
        </w:rPr>
        <w:t>企业应根据房产租金的评估价（或定价报告）和房产所在地段、类型、功能、用途相似的租赁市场价格以及有关租金参考价等，按照内部决策程序确定出租房产的租赁底价。对于合同租期在</w:t>
      </w:r>
      <w:r>
        <w:rPr>
          <w:rFonts w:hint="default" w:ascii="Times New Roman" w:hAnsi="Times New Roman" w:eastAsia="仿宋_GB2312" w:cs="Times New Roman"/>
          <w:b w:val="0"/>
          <w:bCs w:val="0"/>
          <w:kern w:val="2"/>
          <w:sz w:val="32"/>
          <w:szCs w:val="32"/>
          <w:lang w:val="en-US" w:eastAsia="zh-CN" w:bidi="ar"/>
        </w:rPr>
        <w:t>3</w:t>
      </w:r>
      <w:r>
        <w:rPr>
          <w:rFonts w:hint="eastAsia" w:ascii="仿宋_GB2312" w:hAnsi="Times New Roman" w:eastAsia="仿宋_GB2312" w:cs="仿宋_GB2312"/>
          <w:b w:val="0"/>
          <w:bCs w:val="0"/>
          <w:kern w:val="2"/>
          <w:sz w:val="32"/>
          <w:szCs w:val="32"/>
          <w:lang w:val="en-US" w:eastAsia="zh-CN" w:bidi="ar"/>
        </w:rPr>
        <w:t>年以上的，企业可根据市场行情等</w:t>
      </w:r>
      <w:r>
        <w:rPr>
          <w:rFonts w:hint="eastAsia" w:ascii="仿宋_GB2312" w:hAnsi="Times New Roman" w:eastAsia="仿宋_GB2312" w:cs="仿宋_GB2312"/>
          <w:i w:val="0"/>
          <w:iCs w:val="0"/>
          <w:caps w:val="0"/>
          <w:spacing w:val="0"/>
          <w:kern w:val="2"/>
          <w:sz w:val="32"/>
          <w:szCs w:val="32"/>
          <w:shd w:val="clear" w:color="auto" w:fill="FFFFFF"/>
          <w:lang w:val="en-US" w:eastAsia="zh-CN" w:bidi="ar"/>
        </w:rPr>
        <w:t>因素，</w:t>
      </w:r>
      <w:r>
        <w:rPr>
          <w:rFonts w:hint="eastAsia" w:ascii="仿宋_GB2312" w:hAnsi="Times New Roman" w:eastAsia="仿宋_GB2312" w:cs="仿宋_GB2312"/>
          <w:kern w:val="2"/>
          <w:sz w:val="32"/>
          <w:szCs w:val="32"/>
          <w:lang w:val="en-US" w:eastAsia="zh-CN" w:bidi="ar"/>
        </w:rPr>
        <w:t>建立合理的租金价格调整机制</w:t>
      </w:r>
      <w:r>
        <w:rPr>
          <w:rFonts w:hint="eastAsia" w:ascii="仿宋_GB2312" w:hAnsi="Times New Roman" w:eastAsia="仿宋_GB2312" w:cs="仿宋_GB2312"/>
          <w:i w:val="0"/>
          <w:iCs w:val="0"/>
          <w:caps w:val="0"/>
          <w:spacing w:val="0"/>
          <w:kern w:val="2"/>
          <w:sz w:val="32"/>
          <w:szCs w:val="32"/>
          <w:shd w:val="clear" w:color="auto" w:fill="FFFFFF"/>
          <w:lang w:val="en-US" w:eastAsia="zh-CN" w:bidi="ar"/>
        </w:rPr>
        <w:t>。</w:t>
      </w:r>
    </w:p>
    <w:p>
      <w:pPr>
        <w:keepNext w:val="0"/>
        <w:keepLines w:val="0"/>
        <w:widowControl/>
        <w:suppressLineNumbers w:val="0"/>
        <w:autoSpaceDE w:val="0"/>
        <w:autoSpaceDN/>
        <w:adjustRightInd w:val="0"/>
        <w:snapToGrid w:val="0"/>
        <w:spacing w:before="0" w:beforeAutospacing="0" w:after="0" w:afterAutospacing="0" w:line="560" w:lineRule="exact"/>
        <w:ind w:left="0" w:right="0" w:firstLine="642" w:firstLineChars="200"/>
        <w:jc w:val="both"/>
        <w:rPr>
          <w:rFonts w:hint="eastAsia" w:ascii="仿宋_GB2312" w:hAnsi="Calibri" w:eastAsia="仿宋_GB2312" w:cs="仿宋_GB2312"/>
          <w:b w:val="0"/>
          <w:bCs w:val="0"/>
          <w:kern w:val="2"/>
          <w:sz w:val="32"/>
          <w:szCs w:val="32"/>
        </w:rPr>
      </w:pPr>
      <w:r>
        <w:rPr>
          <w:rFonts w:hint="default" w:ascii="楷体_GB2312" w:hAnsi="楷体_GB2312" w:eastAsia="楷体_GB2312" w:cs="楷体_GB2312"/>
          <w:b/>
          <w:bCs/>
          <w:kern w:val="2"/>
          <w:sz w:val="32"/>
          <w:szCs w:val="32"/>
          <w:lang w:val="en-US" w:eastAsia="zh-CN" w:bidi="ar"/>
        </w:rPr>
        <w:t>第十一条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应合理确定房产租期，单项合同年租金底价在30万元以下的，租期最长不得超过5年；单项合同年租金底价在30万元以上、100万元以下的，租期最长不得超过7年；单项合同年租金底价在100万元以上的，租期原则上不得超过10年，如因生产经营等特殊情况确需超过10年的，最长租赁期限不得超过20年。</w:t>
      </w:r>
    </w:p>
    <w:p>
      <w:pPr>
        <w:keepNext w:val="0"/>
        <w:keepLines w:val="0"/>
        <w:widowControl/>
        <w:suppressLineNumbers w:val="0"/>
        <w:spacing w:before="0" w:beforeAutospacing="0" w:after="0" w:afterAutospacing="0" w:line="560" w:lineRule="exact"/>
        <w:ind w:left="0" w:right="0" w:firstLine="642" w:firstLineChars="200"/>
        <w:jc w:val="both"/>
        <w:rPr>
          <w:rFonts w:hint="eastAsia" w:ascii="仿宋_GB2312" w:hAnsi="Calibri" w:eastAsia="仿宋_GB2312" w:cs="仿宋_GB2312"/>
          <w:b w:val="0"/>
          <w:bCs w:val="0"/>
          <w:kern w:val="2"/>
          <w:sz w:val="32"/>
          <w:szCs w:val="32"/>
        </w:rPr>
      </w:pPr>
      <w:r>
        <w:rPr>
          <w:rFonts w:hint="default" w:ascii="楷体_GB2312" w:hAnsi="楷体_GB2312" w:eastAsia="楷体_GB2312" w:cs="楷体_GB2312"/>
          <w:b/>
          <w:bCs/>
          <w:kern w:val="2"/>
          <w:sz w:val="32"/>
          <w:szCs w:val="32"/>
          <w:lang w:val="en-US" w:eastAsia="zh-CN" w:bidi="ar"/>
        </w:rPr>
        <w:t>第十二条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kern w:val="0"/>
          <w:sz w:val="32"/>
          <w:szCs w:val="32"/>
          <w:lang w:val="en-US" w:eastAsia="zh-CN" w:bidi="ar"/>
        </w:rPr>
        <w:t>企业房产出租事项由企业董事会或总经办会议审议决策，</w:t>
      </w:r>
      <w:r>
        <w:rPr>
          <w:rFonts w:hint="eastAsia" w:ascii="仿宋_GB2312" w:hAnsi="Times New Roman" w:eastAsia="仿宋_GB2312" w:cs="仿宋_GB2312"/>
          <w:spacing w:val="0"/>
          <w:kern w:val="2"/>
          <w:sz w:val="32"/>
          <w:szCs w:val="32"/>
          <w:lang w:val="en-US" w:eastAsia="zh-CN" w:bidi="ar"/>
        </w:rPr>
        <w:t>其中：租赁期限不超过10年且单项合同年租金底价在200万元以上的公开租赁项目，由企业决</w:t>
      </w:r>
      <w:r>
        <w:rPr>
          <w:rFonts w:hint="eastAsia" w:ascii="仿宋_GB2312" w:hAnsi="Times New Roman" w:eastAsia="仿宋_GB2312" w:cs="仿宋_GB2312"/>
          <w:kern w:val="2"/>
          <w:sz w:val="32"/>
          <w:szCs w:val="32"/>
          <w:lang w:val="en-US" w:eastAsia="zh-CN" w:bidi="ar"/>
        </w:rPr>
        <w:t>策后逐级报集团公司总经办会议决策；</w:t>
      </w:r>
      <w:r>
        <w:rPr>
          <w:rFonts w:hint="eastAsia" w:ascii="仿宋_GB2312" w:hAnsi="Times New Roman" w:eastAsia="仿宋_GB2312" w:cs="仿宋_GB2312"/>
          <w:spacing w:val="0"/>
          <w:kern w:val="2"/>
          <w:sz w:val="32"/>
          <w:szCs w:val="32"/>
          <w:lang w:val="en-US" w:eastAsia="zh-CN" w:bidi="ar"/>
        </w:rPr>
        <w:t>租赁期限</w:t>
      </w:r>
      <w:r>
        <w:rPr>
          <w:rFonts w:hint="eastAsia" w:ascii="仿宋_GB2312" w:hAnsi="Times New Roman" w:eastAsia="仿宋_GB2312" w:cs="仿宋_GB2312"/>
          <w:kern w:val="2"/>
          <w:sz w:val="32"/>
          <w:szCs w:val="32"/>
          <w:lang w:val="en-US" w:eastAsia="zh-CN" w:bidi="ar"/>
        </w:rPr>
        <w:t>超过10年的</w:t>
      </w:r>
      <w:r>
        <w:rPr>
          <w:rFonts w:hint="eastAsia" w:ascii="仿宋_GB2312" w:hAnsi="Times New Roman" w:eastAsia="仿宋_GB2312" w:cs="仿宋_GB2312"/>
          <w:spacing w:val="0"/>
          <w:kern w:val="2"/>
          <w:sz w:val="32"/>
          <w:szCs w:val="32"/>
          <w:lang w:val="en-US" w:eastAsia="zh-CN" w:bidi="ar"/>
        </w:rPr>
        <w:t>租赁项目</w:t>
      </w:r>
      <w:r>
        <w:rPr>
          <w:rFonts w:hint="eastAsia" w:ascii="仿宋_GB2312" w:hAnsi="Times New Roman" w:eastAsia="仿宋_GB2312" w:cs="仿宋_GB2312"/>
          <w:kern w:val="2"/>
          <w:sz w:val="32"/>
          <w:szCs w:val="32"/>
          <w:lang w:val="en-US" w:eastAsia="zh-CN" w:bidi="ar"/>
        </w:rPr>
        <w:t>，经</w:t>
      </w:r>
      <w:r>
        <w:rPr>
          <w:rFonts w:hint="eastAsia" w:ascii="仿宋_GB2312" w:hAnsi="Times New Roman" w:eastAsia="仿宋_GB2312" w:cs="仿宋_GB2312"/>
          <w:spacing w:val="0"/>
          <w:kern w:val="2"/>
          <w:sz w:val="32"/>
          <w:szCs w:val="32"/>
          <w:lang w:val="en-US" w:eastAsia="zh-CN" w:bidi="ar"/>
        </w:rPr>
        <w:t>企业董事会审议决策并</w:t>
      </w:r>
      <w:r>
        <w:rPr>
          <w:rFonts w:hint="eastAsia" w:ascii="仿宋_GB2312" w:hAnsi="Times New Roman" w:eastAsia="仿宋_GB2312" w:cs="仿宋_GB2312"/>
          <w:kern w:val="2"/>
          <w:sz w:val="32"/>
          <w:szCs w:val="32"/>
          <w:lang w:val="en-US" w:eastAsia="zh-CN" w:bidi="ar"/>
        </w:rPr>
        <w:t>逐级报集团公司董事会审议决策后，报市国资委备案。</w:t>
      </w:r>
    </w:p>
    <w:p>
      <w:pPr>
        <w:spacing w:line="560" w:lineRule="exact"/>
        <w:ind w:left="0" w:leftChars="0" w:firstLine="642" w:firstLineChars="200"/>
        <w:rPr>
          <w:rFonts w:hint="default" w:ascii="仿宋_GB2312" w:hAnsi="仿宋_GB2312" w:eastAsia="仿宋_GB2312" w:cs="仿宋_GB2312"/>
          <w:sz w:val="32"/>
          <w:szCs w:val="32"/>
          <w:lang w:eastAsia="zh-CN"/>
        </w:rPr>
      </w:pPr>
      <w:r>
        <w:rPr>
          <w:rFonts w:hint="eastAsia" w:ascii="楷体_GB2312" w:hAnsi="楷体_GB2312" w:eastAsia="楷体_GB2312" w:cs="楷体_GB2312"/>
          <w:b/>
          <w:bCs/>
          <w:sz w:val="32"/>
          <w:szCs w:val="32"/>
          <w:lang w:val="en-US" w:eastAsia="zh-CN"/>
        </w:rPr>
        <w:t>第十三条</w:t>
      </w:r>
      <w:r>
        <w:rPr>
          <w:rFonts w:hint="eastAsia" w:ascii="仿宋_GB2312" w:hAnsi="仿宋_GB2312" w:eastAsia="仿宋_GB2312" w:cs="仿宋_GB2312"/>
          <w:sz w:val="32"/>
          <w:szCs w:val="32"/>
          <w:lang w:val="en-US" w:eastAsia="zh-CN"/>
        </w:rPr>
        <w:t xml:space="preserve"> 企业房产出租应严格控制装修免租期，确需设置装修免租期的，装修免租期应计入整个合同租期内。装修免租期相关内容应提前在招租方案中明确，并在招租公告中予以披露。</w:t>
      </w:r>
      <w:r>
        <w:rPr>
          <w:rFonts w:hint="eastAsia" w:ascii="仿宋_GB2312" w:hAnsi="仿宋_GB2312" w:eastAsia="仿宋_GB2312" w:cs="仿宋_GB2312"/>
          <w:sz w:val="32"/>
          <w:szCs w:val="32"/>
          <w:lang w:eastAsia="zh-CN"/>
        </w:rPr>
        <w:t xml:space="preserve">  </w:t>
      </w:r>
      <w:r>
        <w:rPr>
          <w:rFonts w:hint="default" w:ascii="仿宋_GB2312" w:hAnsi="仿宋_GB2312" w:eastAsia="仿宋_GB2312" w:cs="仿宋_GB2312"/>
          <w:sz w:val="32"/>
          <w:szCs w:val="32"/>
          <w:lang w:eastAsia="zh-CN"/>
        </w:rPr>
        <w:t xml:space="preserve"> </w:t>
      </w:r>
    </w:p>
    <w:p>
      <w:pPr>
        <w:spacing w:line="560" w:lineRule="exact"/>
        <w:ind w:left="0" w:leftChars="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企业要合理设置租金支付周期，原则上应先付后用。</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10"/>
          <w:sz w:val="32"/>
          <w:szCs w:val="32"/>
        </w:rPr>
      </w:pPr>
      <w:r>
        <w:rPr>
          <w:rFonts w:hint="default" w:ascii="楷体_GB2312" w:hAnsi="楷体_GB2312" w:eastAsia="楷体_GB2312" w:cs="楷体_GB2312"/>
          <w:b/>
          <w:bCs/>
          <w:kern w:val="2"/>
          <w:sz w:val="32"/>
          <w:szCs w:val="32"/>
          <w:lang w:val="en-US" w:eastAsia="zh-CN" w:bidi="ar"/>
        </w:rPr>
        <w:t>第十四条</w:t>
      </w:r>
      <w:r>
        <w:rPr>
          <w:rFonts w:hint="default" w:ascii="Times New Roman" w:hAnsi="Times New Roman" w:eastAsia="仿宋_GB2312" w:cs="Times New Roman"/>
          <w:b w:val="0"/>
          <w:bCs w:val="0"/>
          <w:kern w:val="10"/>
          <w:sz w:val="32"/>
          <w:szCs w:val="32"/>
          <w:lang w:val="en-US" w:eastAsia="zh-CN" w:bidi="ar"/>
        </w:rPr>
        <w:t xml:space="preserve"> </w:t>
      </w:r>
      <w:r>
        <w:rPr>
          <w:rFonts w:hint="eastAsia" w:ascii="仿宋_GB2312" w:hAnsi="Times New Roman" w:eastAsia="仿宋_GB2312" w:cs="仿宋_GB2312"/>
          <w:b w:val="0"/>
          <w:bCs w:val="0"/>
          <w:kern w:val="10"/>
          <w:sz w:val="32"/>
          <w:szCs w:val="32"/>
          <w:lang w:val="en-US" w:eastAsia="zh-CN" w:bidi="ar"/>
        </w:rPr>
        <w:t>企业房产出租应进行公开招租。</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0" w:firstLineChars="200"/>
        <w:jc w:val="both"/>
        <w:rPr>
          <w:rFonts w:hint="eastAsia" w:ascii="仿宋_GB2312" w:hAnsi="Calibri" w:eastAsia="仿宋_GB2312" w:cs="仿宋_GB2312"/>
          <w:b w:val="0"/>
          <w:bCs w:val="0"/>
          <w:kern w:val="10"/>
          <w:sz w:val="32"/>
          <w:szCs w:val="32"/>
        </w:rPr>
      </w:pPr>
      <w:r>
        <w:rPr>
          <w:rFonts w:hint="eastAsia" w:ascii="仿宋_GB2312" w:hAnsi="Times New Roman" w:eastAsia="仿宋_GB2312" w:cs="仿宋_GB2312"/>
          <w:b w:val="0"/>
          <w:bCs w:val="0"/>
          <w:kern w:val="10"/>
          <w:sz w:val="32"/>
          <w:szCs w:val="32"/>
          <w:lang w:val="en-US" w:eastAsia="zh-CN" w:bidi="ar"/>
        </w:rPr>
        <w:t>单项合同年租金底价在30万元以上的，应通过符合国资监管要求的交易机构实施公开招租。单项合同年租金底价在30万元以下的，应通过集团房产运营平台公开招租。</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eastAsia" w:ascii="仿宋_GB2312" w:hAnsi="Calibri" w:eastAsia="仿宋_GB2312" w:cs="仿宋_GB2312"/>
          <w:spacing w:val="0"/>
          <w:kern w:val="2"/>
          <w:sz w:val="31"/>
          <w:szCs w:val="31"/>
        </w:rPr>
      </w:pPr>
      <w:r>
        <w:rPr>
          <w:rFonts w:hint="default" w:ascii="楷体_GB2312" w:hAnsi="楷体_GB2312" w:eastAsia="楷体_GB2312" w:cs="楷体_GB2312"/>
          <w:b/>
          <w:bCs/>
          <w:kern w:val="2"/>
          <w:sz w:val="32"/>
          <w:szCs w:val="32"/>
          <w:lang w:val="en-US" w:eastAsia="zh-CN" w:bidi="ar"/>
        </w:rPr>
        <w:t>第十五条</w:t>
      </w:r>
      <w:r>
        <w:rPr>
          <w:rFonts w:hint="eastAsia" w:ascii="仿宋_GB2312" w:hAnsi="Times New Roman" w:eastAsia="仿宋_GB2312" w:cs="仿宋_GB2312"/>
          <w:b w:val="0"/>
          <w:bCs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企业公开招租项目应在除</w:t>
      </w:r>
      <w:r>
        <w:rPr>
          <w:rFonts w:hint="eastAsia" w:ascii="仿宋_GB2312" w:hAnsi="Times New Roman" w:eastAsia="仿宋_GB2312" w:cs="仿宋_GB2312"/>
          <w:b w:val="0"/>
          <w:bCs w:val="0"/>
          <w:kern w:val="10"/>
          <w:sz w:val="32"/>
          <w:szCs w:val="32"/>
          <w:lang w:val="en-US" w:eastAsia="zh-CN" w:bidi="ar"/>
        </w:rPr>
        <w:t>集团房产运营平台</w:t>
      </w:r>
      <w:r>
        <w:rPr>
          <w:rFonts w:hint="eastAsia" w:ascii="仿宋_GB2312" w:hAnsi="Times New Roman" w:eastAsia="仿宋_GB2312" w:cs="仿宋_GB2312"/>
          <w:spacing w:val="0"/>
          <w:kern w:val="2"/>
          <w:sz w:val="32"/>
          <w:szCs w:val="32"/>
          <w:lang w:val="en-US" w:eastAsia="zh-CN" w:bidi="ar"/>
        </w:rPr>
        <w:t>之外的两个以上公开渠道发布房产招租信息（鼓励在市级及以上的新闻媒体、信息平台发布招租信息），扩大信息受众面，促进市场公平充分竞争。同时在房产现场合适位置进行招租公告，对上一轮参与该房产竞租但未成交的意向承租人，应通过有效方式告知。信息发布与通知时间均不得少于5个工作日。</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eastAsia" w:ascii="仿宋_GB2312" w:hAnsi="Calibri" w:eastAsia="仿宋_GB2312" w:cs="仿宋_GB2312"/>
          <w:b w:val="0"/>
          <w:bCs w:val="0"/>
          <w:kern w:val="10"/>
          <w:sz w:val="32"/>
          <w:szCs w:val="32"/>
        </w:rPr>
      </w:pPr>
      <w:r>
        <w:rPr>
          <w:rFonts w:hint="default" w:ascii="楷体_GB2312" w:hAnsi="楷体_GB2312" w:eastAsia="楷体_GB2312" w:cs="楷体_GB2312"/>
          <w:b/>
          <w:bCs/>
          <w:kern w:val="2"/>
          <w:sz w:val="32"/>
          <w:szCs w:val="32"/>
          <w:lang w:val="en-US" w:eastAsia="zh-CN" w:bidi="ar"/>
        </w:rPr>
        <w:t>第十六条</w:t>
      </w:r>
      <w:r>
        <w:rPr>
          <w:rFonts w:hint="default" w:ascii="Times New Roman" w:hAnsi="Times New Roman" w:eastAsia="黑体" w:cs="Times New Roman"/>
          <w:b w:val="0"/>
          <w:bCs w:val="0"/>
          <w:kern w:val="10"/>
          <w:sz w:val="32"/>
          <w:szCs w:val="32"/>
          <w:lang w:val="en-US" w:eastAsia="zh-CN" w:bidi="ar"/>
        </w:rPr>
        <w:t xml:space="preserve"> </w:t>
      </w:r>
      <w:r>
        <w:rPr>
          <w:rFonts w:hint="eastAsia" w:ascii="仿宋_GB2312" w:hAnsi="Times New Roman" w:eastAsia="仿宋_GB2312" w:cs="仿宋_GB2312"/>
          <w:b w:val="0"/>
          <w:bCs w:val="0"/>
          <w:kern w:val="10"/>
          <w:sz w:val="32"/>
          <w:szCs w:val="32"/>
          <w:lang w:val="en-US" w:eastAsia="zh-CN" w:bidi="ar"/>
        </w:rPr>
        <w:t>信息披露期满未征集到意向承租人的，可以延期继续信息披露或在降低租金底价后</w:t>
      </w:r>
      <w:r>
        <w:rPr>
          <w:rFonts w:hint="eastAsia" w:ascii="仿宋_GB2312" w:hAnsi="Times New Roman" w:eastAsia="仿宋_GB2312" w:cs="仿宋_GB2312"/>
          <w:kern w:val="2"/>
          <w:sz w:val="32"/>
          <w:szCs w:val="32"/>
          <w:lang w:val="en-US" w:eastAsia="zh-CN" w:bidi="ar"/>
        </w:rPr>
        <w:t>重新进行信息披露。</w:t>
      </w:r>
      <w:r>
        <w:rPr>
          <w:rFonts w:hint="eastAsia" w:ascii="仿宋_GB2312" w:hAnsi="Times New Roman" w:eastAsia="仿宋_GB2312" w:cs="仿宋_GB2312"/>
          <w:b w:val="0"/>
          <w:bCs w:val="0"/>
          <w:kern w:val="10"/>
          <w:sz w:val="32"/>
          <w:szCs w:val="32"/>
          <w:lang w:val="en-US" w:eastAsia="zh-CN" w:bidi="ar"/>
        </w:rPr>
        <w:t>采取延期继续信息披露的，延期时间不得少于5个工作日。对于在符合国资监管要求的交易机构采取公开挂牌出租房产的，招租信息披露期满仍未成交的，经原决策机构批准，可在首次公开挂牌价格30%幅度内实施降价挂牌出租，每次降价幅度不超过10%；对于三次公开降价挂牌出租仍未成交的，可重新履行决策、评估等程序后公开挂牌出租。对于在集团房产运营平台出租房产的，招租信息披露期满仍未成交的，经原决策机构批准，可按不低于首次租金底价的90%重新公开招租。</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10"/>
          <w:sz w:val="32"/>
          <w:szCs w:val="32"/>
        </w:rPr>
      </w:pPr>
      <w:r>
        <w:rPr>
          <w:rFonts w:hint="default" w:ascii="楷体_GB2312" w:hAnsi="楷体_GB2312" w:eastAsia="楷体_GB2312" w:cs="楷体_GB2312"/>
          <w:b/>
          <w:bCs/>
          <w:kern w:val="2"/>
          <w:sz w:val="32"/>
          <w:szCs w:val="32"/>
          <w:lang w:val="en-US" w:eastAsia="zh-CN" w:bidi="ar"/>
        </w:rPr>
        <w:t>第十七条</w:t>
      </w:r>
      <w:r>
        <w:rPr>
          <w:rFonts w:hint="default" w:ascii="Times New Roman" w:hAnsi="Times New Roman" w:eastAsia="仿宋_GB2312" w:cs="Times New Roman"/>
          <w:b w:val="0"/>
          <w:bCs w:val="0"/>
          <w:kern w:val="10"/>
          <w:sz w:val="32"/>
          <w:szCs w:val="32"/>
          <w:lang w:val="en-US" w:eastAsia="zh-CN" w:bidi="ar"/>
        </w:rPr>
        <w:t xml:space="preserve"> </w:t>
      </w:r>
      <w:r>
        <w:rPr>
          <w:rFonts w:hint="eastAsia" w:ascii="仿宋_GB2312" w:hAnsi="Times New Roman" w:eastAsia="仿宋_GB2312" w:cs="仿宋_GB2312"/>
          <w:b w:val="0"/>
          <w:bCs w:val="0"/>
          <w:kern w:val="10"/>
          <w:sz w:val="32"/>
          <w:szCs w:val="32"/>
          <w:lang w:val="en-US" w:eastAsia="zh-CN" w:bidi="ar"/>
        </w:rPr>
        <w:t>公开招租原则上不得对承租人设置资格条件；确需设置的，不得有明确指向性或违反公平竞争原则，所设资格条件应在招租方案和公告中作出特别说明。</w:t>
      </w:r>
    </w:p>
    <w:p>
      <w:pPr>
        <w:keepNext w:val="0"/>
        <w:keepLines w:val="0"/>
        <w:widowControl w:val="0"/>
        <w:suppressLineNumbers w:val="0"/>
        <w:autoSpaceDE w:val="0"/>
        <w:autoSpaceDN/>
        <w:spacing w:before="0" w:beforeAutospacing="0" w:after="0" w:afterAutospacing="0" w:line="560" w:lineRule="exact"/>
        <w:ind w:left="0" w:right="0" w:firstLine="640"/>
        <w:jc w:val="both"/>
        <w:rPr>
          <w:rFonts w:hint="default" w:ascii="Times New Roman" w:hAnsi="Times New Roman" w:eastAsia="仿宋_GB2312" w:cs="Times New Roman"/>
          <w:spacing w:val="0"/>
          <w:kern w:val="2"/>
          <w:sz w:val="32"/>
          <w:szCs w:val="32"/>
        </w:rPr>
      </w:pPr>
      <w:r>
        <w:rPr>
          <w:rFonts w:hint="default" w:ascii="楷体_GB2312" w:hAnsi="楷体_GB2312" w:eastAsia="楷体_GB2312" w:cs="楷体_GB2312"/>
          <w:b/>
          <w:bCs/>
          <w:kern w:val="2"/>
          <w:sz w:val="32"/>
          <w:szCs w:val="32"/>
          <w:lang w:val="en-US" w:eastAsia="zh-CN" w:bidi="ar"/>
        </w:rPr>
        <w:t>第十八条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spacing w:val="0"/>
          <w:kern w:val="2"/>
          <w:sz w:val="32"/>
          <w:szCs w:val="32"/>
          <w:lang w:val="en-US" w:eastAsia="zh-CN" w:bidi="ar"/>
        </w:rPr>
        <w:t>企业不得以合作联营等形式，实施非公开租赁。国有及国有控股、国有实际控制企业、机关事业单位之间，以及因权证不齐等原因不具备公开招租条件的房产租赁，确需采取非公开租赁方式的，由企业履行内部决策程序后逐级报集团公司董事会审议决策。其中，集团内部国有全资公司之间、同一控制下的母公司与其独资、全资子企业之间或独资、全资子企业之间以及股东及其持股比例完全相同的子企业之间的非公开租赁行为，可由企业董事会审议决策。</w:t>
      </w:r>
    </w:p>
    <w:p>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spacing w:val="0"/>
          <w:kern w:val="2"/>
          <w:sz w:val="32"/>
          <w:szCs w:val="32"/>
        </w:rPr>
      </w:pPr>
      <w:r>
        <w:rPr>
          <w:rFonts w:hint="eastAsia" w:ascii="仿宋_GB2312" w:hAnsi="Times New Roman" w:eastAsia="仿宋_GB2312" w:cs="仿宋_GB2312"/>
          <w:spacing w:val="0"/>
          <w:kern w:val="2"/>
          <w:sz w:val="32"/>
          <w:szCs w:val="32"/>
          <w:lang w:val="en-US" w:eastAsia="zh-CN" w:bidi="ar"/>
        </w:rPr>
        <w:t>采取非公开租赁方式的，租赁价格由租赁双方协商确定，一般不得低于经备案后的评估结果；其中符合免予评估情形的，应当合理确定租赁价格，不得明显低于市场价格。</w:t>
      </w:r>
    </w:p>
    <w:p>
      <w:pPr>
        <w:keepNext w:val="0"/>
        <w:keepLines w:val="0"/>
        <w:widowControl w:val="0"/>
        <w:suppressLineNumbers w:val="0"/>
        <w:autoSpaceDE/>
        <w:autoSpaceDN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val="0"/>
          <w:bCs w:val="0"/>
          <w:kern w:val="2"/>
          <w:sz w:val="32"/>
          <w:szCs w:val="32"/>
          <w:lang w:val="en-US" w:eastAsia="zh-CN" w:bidi="ar"/>
        </w:rPr>
        <w:t>企业符合条件的房产用于老旧小区改造、</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一老一小</w:t>
      </w:r>
      <w:r>
        <w:rPr>
          <w:rFonts w:hint="default" w:ascii="Times New Roman" w:hAnsi="Times New Roman" w:eastAsia="仿宋_GB2312" w:cs="Times New Roman"/>
          <w:b w:val="0"/>
          <w:bCs w:val="0"/>
          <w:kern w:val="2"/>
          <w:sz w:val="32"/>
          <w:szCs w:val="32"/>
          <w:lang w:val="en-US" w:eastAsia="zh-CN" w:bidi="ar"/>
        </w:rPr>
        <w:t>”</w:t>
      </w:r>
      <w:r>
        <w:rPr>
          <w:rFonts w:hint="eastAsia" w:ascii="仿宋_GB2312" w:hAnsi="Times New Roman" w:eastAsia="仿宋_GB2312" w:cs="仿宋_GB2312"/>
          <w:b w:val="0"/>
          <w:bCs w:val="0"/>
          <w:kern w:val="2"/>
          <w:sz w:val="32"/>
          <w:szCs w:val="32"/>
          <w:lang w:val="en-US" w:eastAsia="zh-CN" w:bidi="ar"/>
        </w:rPr>
        <w:t>服务、公共文化服务、共同富裕等公共服务保障的，</w:t>
      </w:r>
      <w:r>
        <w:rPr>
          <w:rFonts w:hint="eastAsia" w:ascii="仿宋_GB2312" w:hAnsi="Times New Roman" w:eastAsia="仿宋_GB2312" w:cs="仿宋_GB2312"/>
          <w:spacing w:val="0"/>
          <w:kern w:val="2"/>
          <w:sz w:val="32"/>
          <w:szCs w:val="32"/>
          <w:lang w:val="en-US" w:eastAsia="zh-CN" w:bidi="ar"/>
        </w:rPr>
        <w:t>由企业履行内部决策程序后逐级报集团公司董事会审议决策后</w:t>
      </w:r>
      <w:r>
        <w:rPr>
          <w:rFonts w:hint="eastAsia" w:ascii="仿宋_GB2312" w:hAnsi="Times New Roman" w:eastAsia="仿宋_GB2312" w:cs="仿宋_GB2312"/>
          <w:b w:val="0"/>
          <w:bCs w:val="0"/>
          <w:kern w:val="2"/>
          <w:sz w:val="32"/>
          <w:szCs w:val="32"/>
          <w:lang w:val="en-US" w:eastAsia="zh-CN" w:bidi="ar"/>
        </w:rPr>
        <w:t>，可非公开租赁给提供公共服务的相关主体。在充分考虑公益性用途的基础上，租金价格由双方协商确定。</w:t>
      </w:r>
    </w:p>
    <w:p>
      <w:pPr>
        <w:keepNext w:val="0"/>
        <w:keepLines w:val="0"/>
        <w:widowControl w:val="0"/>
        <w:suppressLineNumbers w:val="0"/>
        <w:autoSpaceDE w:val="0"/>
        <w:autoSpaceDN/>
        <w:spacing w:before="0" w:beforeAutospacing="0" w:after="0" w:afterAutospacing="0" w:line="560" w:lineRule="exact"/>
        <w:ind w:left="0" w:right="120" w:firstLine="650"/>
        <w:jc w:val="both"/>
        <w:rPr>
          <w:rFonts w:hint="eastAsia" w:ascii="仿宋_GB2312" w:hAnsi="Calibri" w:eastAsia="仿宋_GB2312" w:cs="仿宋_GB2312"/>
          <w:kern w:val="2"/>
          <w:sz w:val="32"/>
          <w:szCs w:val="32"/>
        </w:rPr>
      </w:pPr>
      <w:r>
        <w:rPr>
          <w:rFonts w:hint="eastAsia" w:ascii="仿宋_GB2312" w:hAnsi="Times New Roman" w:eastAsia="仿宋_GB2312" w:cs="仿宋_GB2312"/>
          <w:spacing w:val="0"/>
          <w:kern w:val="2"/>
          <w:sz w:val="32"/>
          <w:szCs w:val="32"/>
          <w:lang w:val="en-US" w:eastAsia="zh-CN" w:bidi="ar"/>
        </w:rPr>
        <w:t>企业非公开租赁方案履行决策程序后，应在本企业公示，公示期不少于5个工作日。</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b w:val="0"/>
          <w:bCs w:val="0"/>
          <w:kern w:val="0"/>
          <w:sz w:val="32"/>
          <w:szCs w:val="32"/>
        </w:rPr>
      </w:pPr>
      <w:r>
        <w:rPr>
          <w:rFonts w:hint="eastAsia" w:ascii="仿宋_GB2312" w:hAnsi="Times New Roman" w:eastAsia="仿宋_GB2312" w:cs="仿宋_GB2312"/>
          <w:b w:val="0"/>
          <w:bCs w:val="0"/>
          <w:kern w:val="0"/>
          <w:sz w:val="32"/>
          <w:szCs w:val="32"/>
          <w:lang w:val="en-US" w:eastAsia="zh-CN" w:bidi="ar"/>
        </w:rPr>
        <w:t>企业房产原则上不得出借。</w:t>
      </w:r>
    </w:p>
    <w:p>
      <w:pPr>
        <w:pStyle w:val="4"/>
        <w:keepNext w:val="0"/>
        <w:keepLines w:val="0"/>
        <w:widowControl w:val="0"/>
        <w:suppressLineNumbers w:val="0"/>
        <w:autoSpaceDE w:val="0"/>
        <w:autoSpaceDN/>
        <w:spacing w:before="0" w:beforeAutospacing="0" w:after="0" w:afterAutospacing="0" w:line="560" w:lineRule="exact"/>
        <w:ind w:left="0" w:right="49" w:firstLine="642" w:firstLineChars="200"/>
        <w:jc w:val="both"/>
        <w:rPr>
          <w:rFonts w:hint="default" w:ascii="Times New Roman" w:hAnsi="Times New Roman" w:eastAsia="仿宋_GB2312" w:cs="Times New Roman"/>
          <w:kern w:val="2"/>
          <w:sz w:val="32"/>
          <w:szCs w:val="32"/>
        </w:rPr>
      </w:pPr>
      <w:r>
        <w:rPr>
          <w:rFonts w:hint="default" w:ascii="楷体_GB2312" w:hAnsi="楷体_GB2312" w:eastAsia="楷体_GB2312" w:cs="楷体_GB2312"/>
          <w:b/>
          <w:bCs/>
          <w:kern w:val="2"/>
          <w:sz w:val="32"/>
          <w:szCs w:val="32"/>
          <w:lang w:val="en-US" w:eastAsia="zh-CN" w:bidi="ar"/>
        </w:rPr>
        <w:t>第十九条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企业应加强合同履约监管，按照合同约定按时、足额收取租金，对于拖欠租金等违反合同的行为，应当及时采取有效措施，维护企业合法权益。</w:t>
      </w:r>
      <w:r>
        <w:rPr>
          <w:rFonts w:hint="eastAsia" w:ascii="仿宋_GB2312" w:hAnsi="Times New Roman" w:eastAsia="仿宋_GB2312" w:cs="仿宋_GB2312"/>
          <w:spacing w:val="0"/>
          <w:kern w:val="2"/>
          <w:sz w:val="32"/>
          <w:szCs w:val="32"/>
          <w:lang w:val="en-US" w:eastAsia="zh-CN" w:bidi="ar"/>
        </w:rPr>
        <w:t>租赁合同生效后，</w:t>
      </w:r>
      <w:r>
        <w:rPr>
          <w:rFonts w:hint="eastAsia" w:ascii="仿宋_GB2312" w:hAnsi="Times New Roman" w:eastAsia="仿宋_GB2312" w:cs="仿宋_GB2312"/>
          <w:kern w:val="0"/>
          <w:sz w:val="32"/>
          <w:szCs w:val="32"/>
          <w:lang w:val="en-US" w:eastAsia="zh-CN" w:bidi="ar"/>
        </w:rPr>
        <w:t>因租赁市场环境发生重大变化确需调整租赁面积或租金价格的</w:t>
      </w:r>
      <w:r>
        <w:rPr>
          <w:rFonts w:hint="eastAsia" w:ascii="仿宋_GB2312" w:hAnsi="Times New Roman" w:eastAsia="仿宋_GB2312" w:cs="仿宋_GB2312"/>
          <w:spacing w:val="0"/>
          <w:kern w:val="2"/>
          <w:sz w:val="32"/>
          <w:szCs w:val="32"/>
          <w:lang w:val="en-US" w:eastAsia="zh-CN" w:bidi="ar"/>
        </w:rPr>
        <w:t>，应在充分论证后由出租行为原决策机构审议决策。</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第二十条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企业应在租赁合同上约定，承租人未经企业书面同意不得擅自转租。承租人确需转租的，应书面向企业申请，由原决策机构审议决策。</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eastAsia" w:ascii="仿宋_GB2312" w:hAnsi="Times New Roman" w:eastAsia="仿宋_GB2312" w:cs="仿宋_GB2312"/>
          <w:b w:val="0"/>
          <w:bCs w:val="0"/>
          <w:kern w:val="2"/>
          <w:sz w:val="32"/>
          <w:szCs w:val="32"/>
          <w:lang w:val="en-US" w:eastAsia="zh-CN" w:bidi="ar"/>
        </w:rPr>
      </w:pPr>
      <w:r>
        <w:rPr>
          <w:rFonts w:hint="default" w:ascii="楷体_GB2312" w:hAnsi="楷体_GB2312" w:eastAsia="楷体_GB2312" w:cs="楷体_GB2312"/>
          <w:b/>
          <w:bCs/>
          <w:kern w:val="2"/>
          <w:sz w:val="32"/>
          <w:szCs w:val="32"/>
          <w:lang w:val="en-US" w:eastAsia="zh-CN" w:bidi="ar"/>
        </w:rPr>
        <w:t>第二十一条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租赁合同到期后，企业应当重新公开招租。原承租人要求续租的，在重新招租时，原承租人享有以同等条件优先承租的权利，并在招租公告中说明。</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等线" w:cs="Times New Roman"/>
          <w:kern w:val="0"/>
          <w:sz w:val="20"/>
          <w:szCs w:val="20"/>
        </w:rPr>
      </w:pPr>
      <w:r>
        <w:rPr>
          <w:rFonts w:hint="default" w:ascii="楷体_GB2312" w:hAnsi="楷体_GB2312" w:eastAsia="楷体_GB2312" w:cs="楷体_GB2312"/>
          <w:b/>
          <w:bCs/>
          <w:kern w:val="2"/>
          <w:sz w:val="32"/>
          <w:szCs w:val="32"/>
          <w:lang w:val="en-US" w:eastAsia="zh-CN" w:bidi="ar"/>
        </w:rPr>
        <w:t>第二十二条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应加强承租人管理，出租时应严格审查承租人的资质以及与本企业的利益关系，加强源头管控。房产出租后，企业应加强房产的跟踪管理，定期实勘出租现场，确保承租人不存在擅自改变房产的安全结构和用途、擅自改扩建、擅自转租等行为。企业应对承租人进行年度履约评价，集团公司依据企业履约评价结果组织建立承租人“黑名单”。</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第二十三条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企业应建立闲置房产盘活长效管理机制，加大考核力度，加大招商力度，降低房产空置率。集团公司建立闲置房产盘活考核机制，有效盘活国有资产。</w:t>
      </w:r>
    </w:p>
    <w:p>
      <w:pPr>
        <w:keepNext w:val="0"/>
        <w:keepLines w:val="0"/>
        <w:widowControl w:val="0"/>
        <w:suppressLineNumbers w:val="0"/>
        <w:autoSpaceDE/>
        <w:autoSpaceDN w:val="0"/>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企业应严格控制租用集团公司系统外房产，优先承租系统单位内的房产，确需承租系统外房产的，应充分论证租赁的必要性和系统内房源的匹配度，履行企业内部决策程序后，报集团资产管理部备案后实施。</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eastAsia" w:ascii="仿宋_GB2312" w:hAnsi="Times New Roman" w:eastAsia="仿宋_GB2312" w:cs="仿宋_GB2312"/>
          <w:b w:val="0"/>
          <w:bCs w:val="0"/>
          <w:kern w:val="2"/>
          <w:sz w:val="32"/>
          <w:szCs w:val="32"/>
          <w:lang w:val="en-US" w:eastAsia="zh-CN" w:bidi="ar"/>
        </w:rPr>
      </w:pPr>
      <w:r>
        <w:rPr>
          <w:rFonts w:hint="default" w:ascii="楷体_GB2312" w:hAnsi="楷体_GB2312" w:eastAsia="楷体_GB2312" w:cs="楷体_GB2312"/>
          <w:b/>
          <w:bCs/>
          <w:kern w:val="2"/>
          <w:sz w:val="32"/>
          <w:szCs w:val="32"/>
          <w:lang w:val="en-US" w:eastAsia="zh-CN" w:bidi="ar"/>
        </w:rPr>
        <w:t>第二十四条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应充分利用数字化手段，提升房产信息化管理水平。根据市国资委和集团公司有关要求，落实专人负责智慧国资房产管理系统和集团房产运营平台的动态更新与维护。企业房产出租业务应通过智慧国资房产管理系统和集团房产运营平台实现全流程在线管理，并确保数据的完整性、及时性和准确性。</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0" w:firstLineChars="200"/>
        <w:jc w:val="both"/>
        <w:rPr>
          <w:rFonts w:hint="default" w:ascii="仿宋_GB2312" w:hAnsi="Times New Roman" w:eastAsia="仿宋_GB2312" w:cs="仿宋_GB2312"/>
          <w:b w:val="0"/>
          <w:bCs w:val="0"/>
          <w:kern w:val="2"/>
          <w:sz w:val="32"/>
          <w:szCs w:val="32"/>
          <w:lang w:val="en-US" w:eastAsia="zh-CN" w:bidi="ar"/>
        </w:rPr>
      </w:pPr>
      <w:bookmarkStart w:id="4" w:name="_GoBack"/>
      <w:bookmarkEnd w:id="4"/>
    </w:p>
    <w:p>
      <w:pPr>
        <w:keepNext w:val="0"/>
        <w:keepLines w:val="0"/>
        <w:widowControl/>
        <w:suppressLineNumbers w:val="0"/>
        <w:autoSpaceDE w:val="0"/>
        <w:autoSpaceDN/>
        <w:adjustRightInd w:val="0"/>
        <w:snapToGrid w:val="0"/>
        <w:spacing w:before="0" w:beforeAutospacing="0" w:after="0" w:afterAutospacing="0" w:line="560" w:lineRule="exact"/>
        <w:ind w:left="0" w:right="0"/>
        <w:jc w:val="center"/>
        <w:rPr>
          <w:rFonts w:hint="default" w:ascii="Times New Roman" w:hAnsi="Times New Roman" w:eastAsia="黑体" w:cs="Times New Roman"/>
          <w:b w:val="0"/>
          <w:bCs w:val="0"/>
          <w:kern w:val="0"/>
          <w:sz w:val="32"/>
          <w:szCs w:val="32"/>
        </w:rPr>
      </w:pPr>
      <w:r>
        <w:rPr>
          <w:rFonts w:hint="default" w:ascii="黑体" w:hAnsi="宋体" w:eastAsia="黑体" w:cs="黑体"/>
          <w:b w:val="0"/>
          <w:bCs w:val="0"/>
          <w:kern w:val="0"/>
          <w:sz w:val="32"/>
          <w:szCs w:val="32"/>
          <w:lang w:val="en-US" w:eastAsia="zh-CN" w:bidi="ar"/>
        </w:rPr>
        <w:t>第四章</w:t>
      </w:r>
      <w:r>
        <w:rPr>
          <w:rFonts w:hint="default" w:ascii="Times New Roman" w:hAnsi="Times New Roman" w:eastAsia="黑体" w:cs="Times New Roman"/>
          <w:b w:val="0"/>
          <w:bCs w:val="0"/>
          <w:kern w:val="0"/>
          <w:sz w:val="32"/>
          <w:szCs w:val="32"/>
          <w:lang w:val="en-US" w:eastAsia="zh-CN" w:bidi="ar"/>
        </w:rPr>
        <w:t xml:space="preserve"> </w:t>
      </w:r>
      <w:r>
        <w:rPr>
          <w:rFonts w:hint="default" w:ascii="黑体" w:hAnsi="宋体" w:eastAsia="黑体" w:cs="黑体"/>
          <w:b w:val="0"/>
          <w:bCs w:val="0"/>
          <w:kern w:val="0"/>
          <w:sz w:val="32"/>
          <w:szCs w:val="32"/>
          <w:lang w:val="en-US" w:eastAsia="zh-CN" w:bidi="ar"/>
        </w:rPr>
        <w:t>监督检查</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第二十五条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集团公司将充分运用信息化手段，对企业房产出租情况实行动态监管；不定期开展企业房产出租工作监督检查。</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第二十六条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集团公司每年组织开展所属企业房产出租情况专项检查，对明显低于市场价出租、违规出租转租、欠缴租金等问题，要及时采取有效措施，确保国有资产安全；建立企业房产管理、内部审计、纪检监察等部门协同合作的房产管理综合监督机制，充分发挥监督合力，相互配合，提升监管水平。</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第二十七条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企业相关责任人在房产出租过程中违反法律法规、规章制度，滥用职权、玩忽职守，造成国有资产和经营收益损失的，依规依纪依法追究责任。</w:t>
      </w:r>
    </w:p>
    <w:p>
      <w:pPr>
        <w:keepNext w:val="0"/>
        <w:keepLines w:val="0"/>
        <w:widowControl/>
        <w:suppressLineNumbers w:val="0"/>
        <w:autoSpaceDE w:val="0"/>
        <w:autoSpaceDN/>
        <w:adjustRightInd w:val="0"/>
        <w:snapToGrid w:val="0"/>
        <w:spacing w:before="0" w:beforeAutospacing="0" w:after="0" w:afterAutospacing="0" w:line="560" w:lineRule="exact"/>
        <w:ind w:left="0" w:right="0"/>
        <w:jc w:val="both"/>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lang w:val="en-US" w:eastAsia="zh-CN" w:bidi="ar"/>
        </w:rPr>
        <w:t xml:space="preserve"> </w:t>
      </w:r>
    </w:p>
    <w:p>
      <w:pPr>
        <w:keepNext w:val="0"/>
        <w:keepLines w:val="0"/>
        <w:widowControl/>
        <w:suppressLineNumbers w:val="0"/>
        <w:autoSpaceDE w:val="0"/>
        <w:autoSpaceDN/>
        <w:adjustRightInd w:val="0"/>
        <w:snapToGrid w:val="0"/>
        <w:spacing w:before="0" w:beforeAutospacing="0" w:after="0" w:afterAutospacing="0" w:line="560" w:lineRule="exact"/>
        <w:ind w:left="0" w:right="0"/>
        <w:jc w:val="center"/>
        <w:rPr>
          <w:rFonts w:hint="default" w:ascii="Times New Roman" w:hAnsi="Times New Roman" w:eastAsia="黑体" w:cs="Times New Roman"/>
          <w:b w:val="0"/>
          <w:bCs w:val="0"/>
          <w:kern w:val="0"/>
          <w:sz w:val="32"/>
          <w:szCs w:val="32"/>
        </w:rPr>
      </w:pPr>
      <w:r>
        <w:rPr>
          <w:rFonts w:hint="default" w:ascii="黑体" w:hAnsi="宋体" w:eastAsia="黑体" w:cs="黑体"/>
          <w:b w:val="0"/>
          <w:bCs w:val="0"/>
          <w:kern w:val="0"/>
          <w:sz w:val="32"/>
          <w:szCs w:val="32"/>
          <w:lang w:val="en-US" w:eastAsia="zh-CN" w:bidi="ar"/>
        </w:rPr>
        <w:t>第五章</w:t>
      </w:r>
      <w:r>
        <w:rPr>
          <w:rFonts w:hint="default" w:ascii="Times New Roman" w:hAnsi="Times New Roman" w:eastAsia="黑体" w:cs="Times New Roman"/>
          <w:b w:val="0"/>
          <w:bCs w:val="0"/>
          <w:kern w:val="0"/>
          <w:sz w:val="32"/>
          <w:szCs w:val="32"/>
          <w:lang w:val="en-US" w:eastAsia="zh-CN" w:bidi="ar"/>
        </w:rPr>
        <w:t xml:space="preserve"> </w:t>
      </w:r>
      <w:r>
        <w:rPr>
          <w:rFonts w:hint="default" w:ascii="黑体" w:hAnsi="宋体" w:eastAsia="黑体" w:cs="黑体"/>
          <w:b w:val="0"/>
          <w:bCs w:val="0"/>
          <w:kern w:val="0"/>
          <w:sz w:val="32"/>
          <w:szCs w:val="32"/>
          <w:lang w:val="en-US" w:eastAsia="zh-CN" w:bidi="ar"/>
        </w:rPr>
        <w:t>附则</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第二十八条</w:t>
      </w:r>
      <w:r>
        <w:rPr>
          <w:rFonts w:hint="default" w:ascii="Times New Roman" w:hAnsi="Times New Roman" w:eastAsia="仿宋_GB2312"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各企业的土地、场地、地下空间资源及其附属设施等资产用于出租的，按照国家有关规定，参照本办法精神执行。</w:t>
      </w:r>
    </w:p>
    <w:p>
      <w:pPr>
        <w:pStyle w:val="4"/>
        <w:keepNext w:val="0"/>
        <w:keepLines w:val="0"/>
        <w:widowControl w:val="0"/>
        <w:suppressLineNumbers w:val="0"/>
        <w:spacing w:before="100" w:beforeAutospacing="1" w:after="120" w:afterAutospacing="0" w:line="560" w:lineRule="exact"/>
        <w:ind w:left="0" w:right="0" w:firstLine="642" w:firstLineChars="200"/>
        <w:jc w:val="both"/>
        <w:rPr>
          <w:rFonts w:hint="eastAsia" w:ascii="仿宋_GB2312" w:hAnsi="Times New Roman" w:eastAsia="仿宋_GB2312" w:cs="仿宋_GB2312"/>
          <w:kern w:val="0"/>
          <w:sz w:val="32"/>
          <w:szCs w:val="32"/>
          <w:lang w:val="en-US" w:eastAsia="zh-CN" w:bidi="ar"/>
        </w:rPr>
      </w:pPr>
      <w:r>
        <w:rPr>
          <w:rFonts w:hint="default" w:ascii="楷体_GB2312" w:hAnsi="楷体_GB2312" w:eastAsia="楷体_GB2312" w:cs="楷体_GB2312"/>
          <w:b/>
          <w:bCs/>
          <w:kern w:val="2"/>
          <w:sz w:val="32"/>
          <w:szCs w:val="32"/>
          <w:lang w:val="en-US" w:eastAsia="zh-CN" w:bidi="ar"/>
        </w:rPr>
        <w:t>第二十九条</w:t>
      </w:r>
      <w:r>
        <w:rPr>
          <w:rFonts w:hint="default" w:ascii="Times New Roman" w:hAnsi="Times New Roman" w:eastAsia="黑体" w:cs="Times New Roman"/>
          <w:kern w:val="0"/>
          <w:sz w:val="32"/>
          <w:szCs w:val="32"/>
          <w:lang w:val="en-US" w:eastAsia="zh-CN" w:bidi="ar"/>
        </w:rPr>
        <w:t xml:space="preserve"> </w:t>
      </w:r>
      <w:r>
        <w:rPr>
          <w:rFonts w:hint="eastAsia" w:ascii="仿宋_GB2312" w:hAnsi="Times New Roman" w:eastAsia="仿宋_GB2312" w:cs="仿宋_GB2312"/>
          <w:kern w:val="0"/>
          <w:sz w:val="32"/>
          <w:szCs w:val="32"/>
          <w:lang w:val="en-US" w:eastAsia="zh-CN" w:bidi="ar"/>
        </w:rPr>
        <w:t>企业在杭州市域外的房产，应在符合国资监管要求的交易机构或者资产所在地的交易机构公开招租，</w:t>
      </w:r>
      <w:r>
        <w:rPr>
          <w:rFonts w:hint="eastAsia" w:ascii="仿宋_GB2312" w:hAnsi="Times New Roman" w:eastAsia="仿宋_GB2312" w:cs="仿宋_GB2312"/>
          <w:b w:val="0"/>
          <w:bCs w:val="0"/>
          <w:kern w:val="10"/>
          <w:sz w:val="32"/>
          <w:szCs w:val="32"/>
          <w:lang w:val="en-US" w:eastAsia="zh-CN" w:bidi="ar"/>
        </w:rPr>
        <w:t>单项合同年租金底价在</w:t>
      </w:r>
      <w:r>
        <w:rPr>
          <w:rFonts w:hint="default" w:ascii="Times New Roman" w:hAnsi="Times New Roman" w:eastAsia="仿宋_GB2312" w:cs="Times New Roman"/>
          <w:b w:val="0"/>
          <w:bCs w:val="0"/>
          <w:kern w:val="10"/>
          <w:sz w:val="32"/>
          <w:szCs w:val="32"/>
          <w:lang w:val="en-US" w:eastAsia="zh-CN" w:bidi="ar"/>
        </w:rPr>
        <w:t>30</w:t>
      </w:r>
      <w:r>
        <w:rPr>
          <w:rFonts w:hint="eastAsia" w:ascii="仿宋_GB2312" w:hAnsi="Times New Roman" w:eastAsia="仿宋_GB2312" w:cs="仿宋_GB2312"/>
          <w:b w:val="0"/>
          <w:bCs w:val="0"/>
          <w:kern w:val="10"/>
          <w:sz w:val="32"/>
          <w:szCs w:val="32"/>
          <w:lang w:val="en-US" w:eastAsia="zh-CN" w:bidi="ar"/>
        </w:rPr>
        <w:t>万元以下的</w:t>
      </w:r>
      <w:r>
        <w:rPr>
          <w:rFonts w:hint="eastAsia" w:ascii="仿宋_GB2312" w:hAnsi="Times New Roman" w:eastAsia="仿宋_GB2312" w:cs="仿宋_GB2312"/>
          <w:kern w:val="0"/>
          <w:sz w:val="32"/>
          <w:szCs w:val="32"/>
          <w:lang w:val="en-US" w:eastAsia="zh-CN" w:bidi="ar"/>
        </w:rPr>
        <w:t>房产在集团房产运营平台公开招租。</w:t>
      </w:r>
    </w:p>
    <w:p>
      <w:pPr>
        <w:pStyle w:val="4"/>
        <w:keepNext w:val="0"/>
        <w:keepLines w:val="0"/>
        <w:widowControl w:val="0"/>
        <w:suppressLineNumbers w:val="0"/>
        <w:spacing w:before="100" w:beforeAutospacing="1" w:after="120" w:afterAutospacing="0" w:line="560" w:lineRule="exact"/>
        <w:ind w:left="0" w:right="0" w:firstLine="640" w:firstLineChars="200"/>
        <w:jc w:val="both"/>
        <w:rPr>
          <w:rFonts w:hint="default" w:ascii="Times New Roman" w:hAnsi="Times New Roman" w:eastAsia="等线" w:cs="Times New Roman"/>
          <w:kern w:val="0"/>
          <w:sz w:val="20"/>
          <w:szCs w:val="20"/>
        </w:rPr>
      </w:pPr>
      <w:r>
        <w:rPr>
          <w:rFonts w:hint="eastAsia" w:ascii="仿宋_GB2312" w:hAnsi="Times New Roman" w:eastAsia="仿宋_GB2312" w:cs="仿宋_GB2312"/>
          <w:kern w:val="0"/>
          <w:sz w:val="32"/>
          <w:szCs w:val="32"/>
          <w:lang w:val="en-US" w:eastAsia="zh-CN" w:bidi="ar"/>
        </w:rPr>
        <w:t>企业在境外的房产，根据当地法律法规，鼓励多方比选意向承租方，具备条件的，应当公开征集意向承租方，也可进入交易机构公开招租。</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第三十条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企业用于本企业职工居住的住宅不适用本办法，由企业按照有关规定执行。</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eastAsia" w:ascii="仿宋_GB2312" w:hAnsi="Calibri" w:eastAsia="仿宋_GB2312" w:cs="仿宋_GB2312"/>
          <w:b w:val="0"/>
          <w:bCs w:val="0"/>
          <w:kern w:val="2"/>
          <w:sz w:val="32"/>
          <w:szCs w:val="32"/>
        </w:rPr>
      </w:pPr>
      <w:r>
        <w:rPr>
          <w:rFonts w:hint="default" w:ascii="楷体_GB2312" w:hAnsi="楷体_GB2312" w:eastAsia="楷体_GB2312" w:cs="楷体_GB2312"/>
          <w:b/>
          <w:bCs/>
          <w:kern w:val="2"/>
          <w:sz w:val="32"/>
          <w:szCs w:val="32"/>
          <w:lang w:val="en-US" w:eastAsia="zh-CN" w:bidi="ar"/>
        </w:rPr>
        <w:t>第三十一条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本办法所述的“以上”均含本数,“以下”均不含本数; “超过”均不含本数,“不超过”、“不得超过”均含本数。</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第三十二条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企业应参照本办法制定本企业国有房产物业出租管理办法。</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642" w:firstLineChars="200"/>
        <w:jc w:val="both"/>
        <w:rPr>
          <w:rFonts w:hint="default"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第三十三条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本办法由集团公司资产管理部负责解释。</w:t>
      </w:r>
    </w:p>
    <w:p>
      <w:pPr>
        <w:keepNext w:val="0"/>
        <w:keepLines w:val="0"/>
        <w:widowControl w:val="0"/>
        <w:suppressLineNumbers w:val="0"/>
        <w:adjustRightInd w:val="0"/>
        <w:snapToGrid w:val="0"/>
        <w:spacing w:before="0" w:beforeAutospacing="0" w:after="0" w:afterAutospacing="0" w:line="560" w:lineRule="exact"/>
        <w:ind w:left="0" w:right="0" w:firstLine="640"/>
        <w:jc w:val="both"/>
        <w:rPr>
          <w:rFonts w:hint="eastAsia" w:ascii="Times New Roman" w:hAnsi="Times New Roman" w:eastAsia="仿宋_GB2312" w:cs="Times New Roman"/>
          <w:b w:val="0"/>
          <w:bCs w:val="0"/>
          <w:kern w:val="2"/>
          <w:sz w:val="32"/>
          <w:szCs w:val="32"/>
        </w:rPr>
      </w:pPr>
      <w:r>
        <w:rPr>
          <w:rFonts w:hint="default" w:ascii="楷体_GB2312" w:hAnsi="楷体_GB2312" w:eastAsia="楷体_GB2312" w:cs="楷体_GB2312"/>
          <w:b/>
          <w:bCs/>
          <w:kern w:val="2"/>
          <w:sz w:val="32"/>
          <w:szCs w:val="32"/>
          <w:lang w:val="en-US" w:eastAsia="zh-CN" w:bidi="ar"/>
        </w:rPr>
        <w:t>第三十四条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其他未尽事宜由集团公司董事会研究决定。</w:t>
      </w:r>
    </w:p>
    <w:p>
      <w:pPr>
        <w:keepNext w:val="0"/>
        <w:keepLines w:val="0"/>
        <w:widowControl w:val="0"/>
        <w:suppressLineNumbers w:val="0"/>
        <w:autoSpaceDE w:val="0"/>
        <w:autoSpaceDN/>
        <w:adjustRightInd w:val="0"/>
        <w:snapToGrid w:val="0"/>
        <w:spacing w:before="0" w:beforeAutospacing="0" w:after="0" w:afterAutospacing="0" w:line="560" w:lineRule="exact"/>
        <w:ind w:left="0" w:right="0" w:firstLine="0"/>
        <w:jc w:val="both"/>
        <w:rPr>
          <w:rFonts w:hint="eastAsia" w:ascii="小标宋" w:hAnsi="小标宋" w:eastAsia="小标宋" w:cs="小标宋"/>
          <w:b w:val="0"/>
          <w:bCs w:val="0"/>
          <w:kern w:val="0"/>
          <w:sz w:val="44"/>
          <w:szCs w:val="44"/>
        </w:rPr>
      </w:pPr>
      <w:r>
        <w:rPr>
          <w:rFonts w:hint="default" w:ascii="Times New Roman" w:hAnsi="Times New Roman" w:eastAsia="黑体" w:cs="Times New Roman"/>
          <w:b w:val="0"/>
          <w:bCs w:val="0"/>
          <w:kern w:val="2"/>
          <w:sz w:val="32"/>
          <w:szCs w:val="32"/>
          <w:lang w:val="en-US" w:eastAsia="zh-CN" w:bidi="ar"/>
        </w:rPr>
        <w:t xml:space="preserve">    </w:t>
      </w:r>
      <w:r>
        <w:rPr>
          <w:rFonts w:hint="default" w:ascii="楷体_GB2312" w:hAnsi="楷体_GB2312" w:eastAsia="楷体_GB2312" w:cs="楷体_GB2312"/>
          <w:b/>
          <w:bCs/>
          <w:kern w:val="2"/>
          <w:sz w:val="32"/>
          <w:szCs w:val="32"/>
          <w:lang w:val="en-US" w:eastAsia="zh-CN" w:bidi="ar"/>
        </w:rPr>
        <w:t>第三十五条</w:t>
      </w:r>
      <w:r>
        <w:rPr>
          <w:rFonts w:hint="default" w:ascii="Times New Roman" w:hAnsi="Times New Roman" w:eastAsia="黑体" w:cs="Times New Roman"/>
          <w:b w:val="0"/>
          <w:bCs w:val="0"/>
          <w:kern w:val="2"/>
          <w:sz w:val="32"/>
          <w:szCs w:val="32"/>
          <w:lang w:val="en-US" w:eastAsia="zh-CN" w:bidi="ar"/>
        </w:rPr>
        <w:t xml:space="preserve"> </w:t>
      </w:r>
      <w:r>
        <w:rPr>
          <w:rFonts w:hint="eastAsia" w:ascii="仿宋_GB2312" w:hAnsi="Times New Roman" w:eastAsia="仿宋_GB2312" w:cs="仿宋_GB2312"/>
          <w:b w:val="0"/>
          <w:bCs w:val="0"/>
          <w:kern w:val="2"/>
          <w:sz w:val="32"/>
          <w:szCs w:val="32"/>
          <w:lang w:val="en-US" w:eastAsia="zh-CN" w:bidi="ar"/>
        </w:rPr>
        <w:t>本办法自印发之日起施行，《</w:t>
      </w:r>
      <w:r>
        <w:rPr>
          <w:rFonts w:hint="eastAsia" w:ascii="仿宋_GB2312" w:hAnsi="Times New Roman" w:eastAsia="仿宋_GB2312" w:cs="仿宋_GB2312"/>
          <w:kern w:val="2"/>
          <w:sz w:val="32"/>
          <w:szCs w:val="32"/>
          <w:lang w:val="en-US" w:eastAsia="zh-CN" w:bidi="ar"/>
        </w:rPr>
        <w:t>杭州市交通投资集团有限公司国有房产出租管理办法</w:t>
      </w:r>
      <w:r>
        <w:rPr>
          <w:rFonts w:hint="eastAsia" w:ascii="仿宋_GB2312" w:hAnsi="Times New Roman" w:eastAsia="仿宋_GB2312" w:cs="仿宋_GB2312"/>
          <w:b w:val="0"/>
          <w:bCs w:val="0"/>
          <w:kern w:val="2"/>
          <w:sz w:val="32"/>
          <w:szCs w:val="32"/>
          <w:lang w:val="en-US" w:eastAsia="zh-CN" w:bidi="ar"/>
        </w:rPr>
        <w:t>》（杭交投集团〔2025〕51号）同时废止。</w:t>
      </w:r>
    </w:p>
    <w:p>
      <w:pPr>
        <w:rPr>
          <w:rFonts w:ascii="Calibri" w:hAnsi="Calibri" w:eastAsia="宋体" w:cs="Times New Roman"/>
          <w:szCs w:val="24"/>
        </w:rPr>
      </w:pPr>
    </w:p>
    <w:p>
      <w:pPr>
        <w:spacing w:line="600" w:lineRule="exact"/>
        <w:rPr>
          <w:rFonts w:hint="eastAsia" w:ascii="仿宋_GB2312" w:eastAsia="仿宋_GB2312" w:cs="仿宋_GB2312"/>
          <w:spacing w:val="-6"/>
          <w:sz w:val="32"/>
          <w:szCs w:val="32"/>
        </w:rPr>
      </w:pPr>
    </w:p>
    <w:p>
      <w:pPr>
        <w:spacing w:line="600" w:lineRule="exact"/>
        <w:rPr>
          <w:rFonts w:hint="eastAsia" w:ascii="仿宋_GB2312" w:hAnsi="仿宋_GB2312" w:cs="仿宋_GB2312"/>
          <w:szCs w:val="32"/>
        </w:rPr>
      </w:pPr>
    </w:p>
    <w:p>
      <w:pPr>
        <w:spacing w:line="600" w:lineRule="exact"/>
        <w:rPr>
          <w:rFonts w:hint="eastAsia" w:ascii="仿宋_GB2312" w:hAnsi="仿宋_GB2312" w:cs="仿宋_GB2312"/>
          <w:szCs w:val="32"/>
        </w:rPr>
      </w:pPr>
    </w:p>
    <w:p>
      <w:pPr>
        <w:spacing w:line="600" w:lineRule="exact"/>
        <w:rPr>
          <w:rFonts w:hint="eastAsia" w:ascii="仿宋_GB2312" w:hAnsi="仿宋_GB2312" w:cs="仿宋_GB2312"/>
          <w:szCs w:val="32"/>
        </w:rPr>
      </w:pPr>
    </w:p>
    <w:p>
      <w:pPr>
        <w:spacing w:line="600" w:lineRule="exact"/>
        <w:rPr>
          <w:rFonts w:hint="eastAsia" w:ascii="仿宋_GB2312" w:hAnsi="仿宋_GB2312" w:cs="仿宋_GB2312"/>
          <w:szCs w:val="32"/>
        </w:rPr>
      </w:pPr>
    </w:p>
    <w:p>
      <w:pPr>
        <w:spacing w:line="600" w:lineRule="exact"/>
        <w:rPr>
          <w:rFonts w:hint="eastAsia" w:ascii="仿宋_GB2312" w:hAnsi="仿宋_GB2312" w:cs="仿宋_GB2312"/>
          <w:szCs w:val="32"/>
        </w:rPr>
      </w:pPr>
    </w:p>
    <w:p>
      <w:pPr>
        <w:spacing w:line="600" w:lineRule="exact"/>
        <w:rPr>
          <w:rFonts w:hint="eastAsia" w:ascii="仿宋_GB2312" w:hAnsi="仿宋_GB2312" w:cs="仿宋_GB2312"/>
          <w:szCs w:val="32"/>
        </w:rPr>
      </w:pPr>
    </w:p>
    <w:tbl>
      <w:tblPr>
        <w:tblStyle w:val="5"/>
        <w:tblpPr w:leftFromText="181" w:rightFromText="181" w:horzAnchor="page" w:tblpX="1588" w:tblpYSpec="bottom"/>
        <w:tblOverlap w:val="never"/>
        <w:tblW w:w="0" w:type="auto"/>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16"/>
        <w:gridCol w:w="3728"/>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7" w:hRule="atLeast"/>
        </w:trPr>
        <w:tc>
          <w:tcPr>
            <w:tcW w:w="5116" w:type="dxa"/>
            <w:tcBorders>
              <w:top w:val="single" w:color="auto" w:sz="8" w:space="0"/>
              <w:left w:val="nil"/>
              <w:bottom w:val="single" w:color="auto" w:sz="8" w:space="0"/>
              <w:right w:val="nil"/>
            </w:tcBorders>
            <w:noWrap w:val="0"/>
            <w:tcMar>
              <w:right w:w="113" w:type="dxa"/>
            </w:tcMar>
            <w:vAlign w:val="center"/>
          </w:tcPr>
          <w:p>
            <w:pPr>
              <w:autoSpaceDN w:val="0"/>
              <w:ind w:left="210" w:leftChars="100"/>
              <w:jc w:val="left"/>
              <w:rPr>
                <w:rFonts w:hint="eastAsia" w:ascii="仿宋_GB2312" w:eastAsia="仿宋_GB2312" w:cs="仿宋_GB2312"/>
                <w:sz w:val="28"/>
                <w:szCs w:val="28"/>
                <w:lang w:eastAsia="zh-CN"/>
              </w:rPr>
            </w:pPr>
            <w:bookmarkStart w:id="2" w:name="field0014"/>
            <w:r>
              <w:rPr>
                <w:rFonts w:hint="eastAsia" w:ascii="仿宋_GB2312" w:eastAsia="仿宋_GB2312" w:cs="仿宋_GB2312"/>
                <w:sz w:val="28"/>
                <w:szCs w:val="28"/>
                <w:lang w:eastAsia="zh-CN"/>
              </w:rPr>
              <w:t>杭州市交通投资集团有限公司办公室</w:t>
            </w:r>
            <w:bookmarkEnd w:id="2"/>
          </w:p>
        </w:tc>
        <w:tc>
          <w:tcPr>
            <w:tcW w:w="3728" w:type="dxa"/>
            <w:tcBorders>
              <w:top w:val="single" w:color="auto" w:sz="8" w:space="0"/>
              <w:left w:val="nil"/>
              <w:bottom w:val="single" w:color="auto" w:sz="8" w:space="0"/>
              <w:right w:val="nil"/>
            </w:tcBorders>
            <w:noWrap w:val="0"/>
            <w:tcMar>
              <w:right w:w="113" w:type="dxa"/>
            </w:tcMar>
            <w:vAlign w:val="center"/>
          </w:tcPr>
          <w:p>
            <w:pPr>
              <w:autoSpaceDN w:val="0"/>
              <w:ind w:right="210" w:rightChars="100"/>
              <w:jc w:val="right"/>
              <w:rPr>
                <w:rFonts w:hint="eastAsia" w:ascii="仿宋_GB2312" w:eastAsia="仿宋_GB2312" w:cs="仿宋_GB2312"/>
                <w:sz w:val="28"/>
                <w:szCs w:val="28"/>
              </w:rPr>
            </w:pPr>
            <w:bookmarkStart w:id="3" w:name="Printing_Date"/>
            <w:r>
              <w:rPr>
                <w:rFonts w:hint="eastAsia" w:ascii="仿宋_GB2312" w:eastAsia="仿宋_GB2312" w:cs="仿宋_GB2312"/>
                <w:sz w:val="28"/>
                <w:szCs w:val="28"/>
                <w:lang w:eastAsia="zh-CN"/>
              </w:rPr>
              <w:t>2026年6月17日</w:t>
            </w:r>
            <w:bookmarkEnd w:id="3"/>
            <w:r>
              <w:rPr>
                <w:rFonts w:hint="eastAsia" w:ascii="仿宋_GB2312" w:eastAsia="仿宋_GB2312" w:cs="仿宋_GB2312"/>
                <w:sz w:val="28"/>
                <w:szCs w:val="28"/>
              </w:rPr>
              <w:t>印发</w:t>
            </w:r>
          </w:p>
        </w:tc>
      </w:tr>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 w:hRule="exact"/>
        </w:trPr>
        <w:tc>
          <w:tcPr>
            <w:tcW w:w="5116" w:type="dxa"/>
            <w:tcBorders>
              <w:top w:val="single" w:color="auto" w:sz="8" w:space="0"/>
              <w:left w:val="nil"/>
              <w:bottom w:val="nil"/>
              <w:right w:val="nil"/>
            </w:tcBorders>
            <w:noWrap w:val="0"/>
            <w:tcMar>
              <w:right w:w="113" w:type="dxa"/>
            </w:tcMar>
            <w:vAlign w:val="top"/>
          </w:tcPr>
          <w:p>
            <w:pPr>
              <w:autoSpaceDN w:val="0"/>
              <w:jc w:val="left"/>
              <w:rPr>
                <w:rFonts w:hint="eastAsia" w:ascii="仿宋" w:eastAsia="仿宋" w:cs="仿宋"/>
                <w:sz w:val="28"/>
                <w:szCs w:val="28"/>
              </w:rPr>
            </w:pPr>
          </w:p>
        </w:tc>
        <w:tc>
          <w:tcPr>
            <w:tcW w:w="3728" w:type="dxa"/>
            <w:tcBorders>
              <w:top w:val="single" w:color="auto" w:sz="8" w:space="0"/>
              <w:left w:val="nil"/>
              <w:bottom w:val="nil"/>
              <w:right w:val="nil"/>
            </w:tcBorders>
            <w:noWrap w:val="0"/>
            <w:tcMar>
              <w:right w:w="113" w:type="dxa"/>
            </w:tcMar>
            <w:vAlign w:val="top"/>
          </w:tcPr>
          <w:p>
            <w:pPr>
              <w:autoSpaceDN w:val="0"/>
              <w:ind w:right="210" w:rightChars="100"/>
              <w:jc w:val="right"/>
              <w:rPr>
                <w:rFonts w:hint="eastAsia" w:ascii="仿宋" w:eastAsia="仿宋" w:cs="仿宋"/>
                <w:sz w:val="28"/>
                <w:szCs w:val="28"/>
              </w:rPr>
            </w:pPr>
          </w:p>
        </w:tc>
      </w:tr>
    </w:tbl>
    <w:p>
      <w:pPr>
        <w:autoSpaceDN w:val="0"/>
        <w:jc w:val="left"/>
        <w:rPr>
          <w:rFonts w:hint="eastAsia" w:ascii="Times New Roman" w:eastAsia="仿宋_GB2312"/>
          <w:spacing w:val="-6"/>
          <w:sz w:val="32"/>
          <w:szCs w:val="20"/>
        </w:rPr>
      </w:pPr>
    </w:p>
    <w:p>
      <w:pPr>
        <w:autoSpaceDN w:val="0"/>
        <w:jc w:val="left"/>
      </w:pPr>
    </w:p>
    <w:p>
      <w:pPr>
        <w:rPr>
          <w:rFonts w:hint="eastAsia"/>
        </w:rPr>
      </w:pPr>
    </w:p>
    <w:sectPr>
      <w:pgSz w:w="11906" w:h="16838"/>
      <w:pgMar w:top="2098" w:right="1474" w:bottom="1985" w:left="1588"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方正小标宋简体">
    <w:altName w:val="汉仪书宋二KW"/>
    <w:panose1 w:val="03000509000000000000"/>
    <w:charset w:val="86"/>
    <w:family w:val="script"/>
    <w:pitch w:val="default"/>
    <w:sig w:usb0="00000000" w:usb1="00000000" w:usb2="00000000" w:usb3="00000000" w:csb0="00040000" w:csb1="00000000"/>
  </w:font>
  <w:font w:name="小标宋">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汉仪仿宋KW">
    <w:panose1 w:val="00020600040101010101"/>
    <w:charset w:val="86"/>
    <w:family w:val="auto"/>
    <w:pitch w:val="default"/>
    <w:sig w:usb0="A00002BF" w:usb1="18EF7CFA" w:usb2="00000016" w:usb3="00000000" w:csb0="00040000" w:csb1="00000000"/>
  </w:font>
  <w:font w:name="方正小标宋简体">
    <w:altName w:val="汉仪书宋二KW"/>
    <w:panose1 w:val="00000000000000000000"/>
    <w:charset w:val="00"/>
    <w:family w:val="auto"/>
    <w:pitch w:val="default"/>
    <w:sig w:usb0="00000000" w:usb1="00000000" w:usb2="00000000" w:usb3="00000000" w:csb0="0000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">
              <v:fill on="f" focussize="0,0"/>
              <v:stroke on="f" weight="0.5pt"/>
              <v:imagedata o:title=""/>
              <o:lock v:ext="edit" aspectratio="f"/>
              <v:textbox inset="0mm,0mm,0mm,0mm" style="mso-fit-shape-to-text:t;">
                <w:txbxContent>
                  <w:p>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GWebUrl" w:val="http://183.129.140.118:7100/sys/attachment/sys_att_main/jg_service.jsp"/>
  </w:docVars>
  <w:rsids>
    <w:rsidRoot w:val="00CF55D9"/>
    <w:rsid w:val="0002386C"/>
    <w:rsid w:val="00AE5B26"/>
    <w:rsid w:val="00D16358"/>
    <w:rsid w:val="03C80E1A"/>
    <w:rsid w:val="071663F9"/>
    <w:rsid w:val="18E15A00"/>
    <w:rsid w:val="20136F07"/>
    <w:rsid w:val="5362673F"/>
    <w:rsid w:val="6308761A"/>
    <w:rsid w:val="641164A8"/>
    <w:rsid w:val="67F2AAF6"/>
    <w:rsid w:val="68C4F319"/>
    <w:rsid w:val="6FBF8C53"/>
    <w:rsid w:val="7C222E2E"/>
    <w:rsid w:val="7E183375"/>
    <w:rsid w:val="A7FEC40C"/>
    <w:rsid w:val="FBBBF133"/>
    <w:rsid w:val="FDFDEB65"/>
    <w:rsid w:val="FFCD2607"/>
    <w:rsid w:val="FFEFF427"/>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Times New Roman" w:eastAsia="等线" w:cs="Times New Roman"/>
      <w:kern w:val="2"/>
      <w:sz w:val="21"/>
      <w:szCs w:val="22"/>
      <w:lang w:val="en-US" w:eastAsia="zh-CN" w:bidi="ar-SA"/>
    </w:rPr>
  </w:style>
  <w:style w:type="character" w:default="1" w:styleId="6">
    <w:name w:val="Default Paragraph Font"/>
    <w:qFormat/>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uiPriority w:val="0"/>
    <w:pPr>
      <w:widowControl w:val="0"/>
      <w:jc w:val="both"/>
    </w:pPr>
    <w:rPr>
      <w:rFonts w:ascii="Calibri" w:hAnsi="Calibri"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34</Words>
  <Characters>42</Characters>
  <Lines>1</Lines>
  <Paragraphs>1</Paragraphs>
  <TotalTime>0</TotalTime>
  <ScaleCrop>false</ScaleCrop>
  <LinksUpToDate>false</LinksUpToDate>
  <CharactersWithSpaces>42</CharactersWithSpaces>
  <Application>WPS Office WWO_wpscloud_20230822181311-a263048b93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2020-09-05T03:09:00Z</dcterms:created>
  <dc:creator>蓝凌项目组2</dc:creator>
  <cp:lastModifiedBy>Administrator</cp:lastModifiedBy>
  <dcterms:modified xsi:type="dcterms:W3CDTF">2026-06-18T11:27:51Z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DD4886B399C3D1D85D56336A118360D2</vt:lpwstr>
  </property>
  <property fmtid="{D5CDD505-2E9C-101B-9397-08002B2CF9AE}" pid="4" name="KSOTemplateDocerSaveRecord">
    <vt:lpwstr>eyJoZGlkIjoiNGU5YTk2NWU3OTRhNTU0YjZlNWE0ODExMjY4YzM0MTgifQ==</vt:lpwstr>
  </property>
</Properties>
</file>