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356B7">
      <w:pPr>
        <w:pStyle w:val="4"/>
        <w:pageBreakBefore w:val="0"/>
        <w:wordWrap/>
        <w:overflowPunct/>
        <w:topLinePunct w:val="0"/>
        <w:bidi w:val="0"/>
        <w:spacing w:before="0" w:beforeAutospacing="0" w:after="0" w:afterAutospacing="0" w:line="560" w:lineRule="exact"/>
        <w:ind w:left="0" w:leftChars="0" w:right="0" w:rightChars="0"/>
        <w:rPr>
          <w:rFonts w:hint="eastAsia" w:ascii="小标宋" w:hAnsi="小标宋" w:eastAsia="小标宋" w:cs="小标宋"/>
          <w:color w:val="auto"/>
          <w:highlight w:val="none"/>
          <w:u w:val="none"/>
        </w:rPr>
      </w:pPr>
      <w:r>
        <w:rPr>
          <w:rFonts w:hint="eastAsia" w:ascii="小标宋" w:hAnsi="小标宋" w:eastAsia="小标宋" w:cs="小标宋"/>
          <w:b w:val="0"/>
          <w:bCs/>
          <w:color w:val="auto"/>
          <w:highlight w:val="none"/>
          <w:u w:val="none"/>
        </w:rPr>
        <w:t>董事会议事规则</w:t>
      </w:r>
      <w:bookmarkStart w:id="0" w:name="_GoBack"/>
      <w:bookmarkEnd w:id="0"/>
    </w:p>
    <w:p w14:paraId="1D001301">
      <w:pPr>
        <w:pageBreakBefore w:val="0"/>
        <w:wordWrap/>
        <w:overflowPunct/>
        <w:topLinePunct w:val="0"/>
        <w:bidi w:val="0"/>
        <w:spacing w:beforeAutospacing="0" w:afterAutospacing="0" w:line="560" w:lineRule="exact"/>
        <w:ind w:left="0" w:leftChars="0" w:right="0" w:rightChars="0" w:firstLine="640" w:firstLineChars="200"/>
        <w:rPr>
          <w:rFonts w:hint="eastAsia" w:ascii="黑体" w:hAnsi="黑体" w:eastAsia="黑体" w:cs="黑体"/>
          <w:color w:val="auto"/>
          <w:sz w:val="32"/>
          <w:szCs w:val="32"/>
          <w:highlight w:val="none"/>
        </w:rPr>
      </w:pPr>
    </w:p>
    <w:p w14:paraId="35F5B5E2">
      <w:pPr>
        <w:pageBreakBefore w:val="0"/>
        <w:wordWrap/>
        <w:overflowPunct/>
        <w:topLinePunct w:val="0"/>
        <w:bidi w:val="0"/>
        <w:spacing w:beforeAutospacing="0" w:afterAutospacing="0" w:line="560" w:lineRule="exact"/>
        <w:ind w:left="0" w:leftChars="0" w:right="0" w:rightChars="0" w:firstLine="0" w:firstLineChars="0"/>
        <w:jc w:val="center"/>
        <w:rPr>
          <w:rFonts w:hint="eastAsia" w:ascii="黑体" w:hAnsi="黑体" w:eastAsia="黑体" w:cs="黑体"/>
          <w:color w:val="auto"/>
          <w:sz w:val="32"/>
          <w:szCs w:val="32"/>
          <w:highlight w:val="none"/>
          <w:lang w:eastAsia="zh-CN"/>
        </w:rPr>
      </w:pPr>
      <w:r>
        <w:rPr>
          <w:rFonts w:hint="eastAsia" w:ascii="黑体" w:hAnsi="黑体" w:eastAsia="黑体" w:cs="黑体"/>
          <w:color w:val="auto"/>
          <w:sz w:val="32"/>
          <w:szCs w:val="32"/>
          <w:highlight w:val="none"/>
        </w:rPr>
        <w:t xml:space="preserve">第一章  </w:t>
      </w:r>
      <w:r>
        <w:rPr>
          <w:rFonts w:hint="eastAsia" w:ascii="黑体" w:hAnsi="黑体" w:eastAsia="黑体" w:cs="黑体"/>
          <w:color w:val="auto"/>
          <w:sz w:val="32"/>
          <w:szCs w:val="32"/>
          <w:highlight w:val="none"/>
          <w:lang w:eastAsia="zh-CN"/>
        </w:rPr>
        <w:t>总 则</w:t>
      </w:r>
    </w:p>
    <w:p w14:paraId="27E2C71F">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第一条</w:t>
      </w:r>
      <w:r>
        <w:rPr>
          <w:rFonts w:hint="eastAsia" w:ascii="仿宋_GB2312" w:hAnsi="仿宋_GB2312" w:eastAsia="仿宋_GB2312" w:cs="仿宋_GB2312"/>
          <w:color w:val="auto"/>
          <w:sz w:val="32"/>
          <w:szCs w:val="32"/>
          <w:highlight w:val="none"/>
        </w:rPr>
        <w:t xml:space="preserve">  为进一步规范</w:t>
      </w:r>
      <w:r>
        <w:rPr>
          <w:rFonts w:hint="eastAsia" w:ascii="仿宋_GB2312" w:hAnsi="仿宋_GB2312" w:cs="仿宋_GB2312"/>
          <w:color w:val="auto"/>
          <w:sz w:val="32"/>
          <w:szCs w:val="32"/>
          <w:highlight w:val="none"/>
          <w:lang w:eastAsia="zh-CN"/>
        </w:rPr>
        <w:t>杭州交投智慧交通产业发展有限公司</w:t>
      </w:r>
      <w:r>
        <w:rPr>
          <w:rFonts w:hint="eastAsia" w:ascii="仿宋_GB2312" w:eastAsia="仿宋_GB2312"/>
          <w:color w:val="auto"/>
          <w:sz w:val="32"/>
          <w:szCs w:val="32"/>
          <w:highlight w:val="none"/>
        </w:rPr>
        <w:t>（以下简称“公司”）</w:t>
      </w:r>
      <w:r>
        <w:rPr>
          <w:rFonts w:hint="eastAsia" w:ascii="仿宋_GB2312" w:hAnsi="仿宋_GB2312" w:eastAsia="仿宋_GB2312" w:cs="仿宋_GB2312"/>
          <w:color w:val="auto"/>
          <w:sz w:val="32"/>
          <w:szCs w:val="32"/>
          <w:highlight w:val="none"/>
        </w:rPr>
        <w:t>董事会议事方式和决策程序</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促使董事和董事会有效地履行其职责</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提高董事会规范运作和科学决策水平</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根据《中华人民共和国公司法》</w:t>
      </w:r>
      <w:r>
        <w:rPr>
          <w:rFonts w:hint="eastAsia" w:ascii="仿宋_GB2312" w:hAnsi="仿宋_GB2312" w:cs="仿宋_GB2312"/>
          <w:color w:val="auto"/>
          <w:sz w:val="32"/>
          <w:szCs w:val="32"/>
          <w:highlight w:val="none"/>
          <w:lang w:eastAsia="zh-CN"/>
        </w:rPr>
        <w:t>《关于进一步完善杭州市市属企业法人治理结构的意见（试行）》《杭州市市属国有企业贯彻落实“三重一大”决策制度的实施办法》《关于印发杭州市市属国有企业重大事项管理暂行规定的通知》</w:t>
      </w:r>
      <w:r>
        <w:rPr>
          <w:rFonts w:hint="eastAsia" w:ascii="仿宋_GB2312" w:hAnsi="仿宋_GB2312" w:eastAsia="仿宋_GB2312" w:cs="仿宋_GB2312"/>
          <w:color w:val="auto"/>
          <w:sz w:val="32"/>
          <w:szCs w:val="32"/>
          <w:highlight w:val="none"/>
        </w:rPr>
        <w:t>和《</w:t>
      </w:r>
      <w:r>
        <w:rPr>
          <w:rFonts w:hint="eastAsia" w:ascii="仿宋_GB2312" w:hAnsi="仿宋_GB2312" w:cs="仿宋_GB2312"/>
          <w:color w:val="auto"/>
          <w:sz w:val="32"/>
          <w:szCs w:val="32"/>
          <w:highlight w:val="none"/>
          <w:lang w:eastAsia="zh-CN"/>
        </w:rPr>
        <w:t>杭州交投智慧交通产业发展有限公司</w:t>
      </w:r>
      <w:r>
        <w:rPr>
          <w:rFonts w:hint="eastAsia" w:ascii="仿宋_GB2312" w:hAnsi="仿宋_GB2312" w:eastAsia="仿宋_GB2312" w:cs="仿宋_GB2312"/>
          <w:color w:val="auto"/>
          <w:sz w:val="32"/>
          <w:szCs w:val="32"/>
          <w:highlight w:val="none"/>
        </w:rPr>
        <w:t>章程》（以下简称“章程”）及其他有关规定</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结合实际</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特制订本规则。</w:t>
      </w:r>
    </w:p>
    <w:p w14:paraId="0DC83E96">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第二条</w:t>
      </w:r>
      <w:r>
        <w:rPr>
          <w:rFonts w:hint="eastAsia" w:ascii="仿宋_GB2312" w:hAnsi="仿宋_GB2312" w:eastAsia="仿宋_GB2312" w:cs="仿宋_GB2312"/>
          <w:b/>
          <w:color w:val="auto"/>
          <w:sz w:val="32"/>
          <w:szCs w:val="32"/>
          <w:highlight w:val="none"/>
        </w:rPr>
        <w:t xml:space="preserve"> </w:t>
      </w:r>
      <w:r>
        <w:rPr>
          <w:rFonts w:hint="eastAsia" w:ascii="仿宋_GB2312" w:hAnsi="仿宋_GB2312" w:eastAsia="仿宋_GB2312" w:cs="仿宋_GB2312"/>
          <w:color w:val="auto"/>
          <w:sz w:val="32"/>
          <w:szCs w:val="32"/>
          <w:highlight w:val="none"/>
        </w:rPr>
        <w:t xml:space="preserve"> 董事和董事会应当认真履行国家有关法律法规和《章程》规定的职权</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确保公司遵守国家法律法规。</w:t>
      </w:r>
    </w:p>
    <w:p w14:paraId="0F0AB726">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eastAsia="黑体" w:cs="仿宋_GB2312"/>
          <w:b w:val="0"/>
          <w:color w:val="auto"/>
          <w:sz w:val="32"/>
          <w:szCs w:val="32"/>
          <w:highlight w:val="none"/>
          <w:lang w:eastAsia="zh-CN"/>
        </w:rPr>
        <w:t>第三条</w:t>
      </w:r>
      <w:r>
        <w:rPr>
          <w:rFonts w:hint="eastAsia" w:ascii="仿宋_GB2312" w:hAnsi="仿宋_GB2312" w:eastAsia="仿宋_GB2312" w:cs="仿宋_GB2312"/>
          <w:b/>
          <w:color w:val="auto"/>
          <w:sz w:val="32"/>
          <w:szCs w:val="32"/>
          <w:highlight w:val="none"/>
        </w:rPr>
        <w:t xml:space="preserve">  </w:t>
      </w:r>
      <w:r>
        <w:rPr>
          <w:rFonts w:hint="eastAsia" w:ascii="仿宋_GB2312" w:hAnsi="仿宋_GB2312" w:eastAsia="仿宋_GB2312" w:cs="仿宋_GB2312"/>
          <w:color w:val="auto"/>
          <w:sz w:val="32"/>
          <w:szCs w:val="32"/>
          <w:highlight w:val="none"/>
        </w:rPr>
        <w:t>本规则适用于公司董事会</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董事及列席董事会等相关人员</w:t>
      </w:r>
      <w:r>
        <w:rPr>
          <w:rFonts w:hint="eastAsia" w:ascii="仿宋_GB2312" w:hAnsi="仿宋_GB2312" w:cs="仿宋_GB2312"/>
          <w:color w:val="auto"/>
          <w:sz w:val="32"/>
          <w:szCs w:val="32"/>
          <w:highlight w:val="none"/>
          <w:lang w:eastAsia="zh-CN"/>
        </w:rPr>
        <w:t>。</w:t>
      </w:r>
    </w:p>
    <w:p w14:paraId="00EF212D">
      <w:pPr>
        <w:pageBreakBefore w:val="0"/>
        <w:wordWrap/>
        <w:overflowPunct/>
        <w:topLinePunct w:val="0"/>
        <w:bidi w:val="0"/>
        <w:spacing w:beforeAutospacing="0" w:afterAutospacing="0" w:line="560" w:lineRule="exact"/>
        <w:ind w:left="0" w:leftChars="0" w:right="0" w:rightChars="0" w:firstLine="0" w:firstLineChars="0"/>
        <w:jc w:val="center"/>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第二章  董事会的职权</w:t>
      </w:r>
    </w:p>
    <w:p w14:paraId="7CA3EBA7">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第四条</w:t>
      </w:r>
      <w:r>
        <w:rPr>
          <w:rFonts w:hint="eastAsia" w:ascii="仿宋_GB2312" w:hAnsi="仿宋_GB2312" w:eastAsia="仿宋_GB2312" w:cs="仿宋_GB2312"/>
          <w:color w:val="auto"/>
          <w:sz w:val="32"/>
          <w:szCs w:val="32"/>
          <w:highlight w:val="none"/>
        </w:rPr>
        <w:t xml:space="preserve">  董事会是公司决策机构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并履行出资人授予的股东会部分职权</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是公司的常设权力机构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对出资人负责并报告工作。</w:t>
      </w:r>
    </w:p>
    <w:p w14:paraId="1D513343">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第五条</w:t>
      </w:r>
      <w:r>
        <w:rPr>
          <w:rFonts w:hint="eastAsia" w:ascii="仿宋_GB2312" w:hAnsi="仿宋_GB2312" w:eastAsia="仿宋_GB2312" w:cs="仿宋_GB2312"/>
          <w:b/>
          <w:color w:val="auto"/>
          <w:sz w:val="32"/>
          <w:szCs w:val="32"/>
          <w:highlight w:val="none"/>
        </w:rPr>
        <w:t xml:space="preserve"> </w:t>
      </w:r>
      <w:r>
        <w:rPr>
          <w:rFonts w:hint="eastAsia" w:ascii="仿宋_GB2312" w:hAnsi="仿宋_GB2312" w:eastAsia="仿宋_GB2312" w:cs="仿宋_GB2312"/>
          <w:color w:val="auto"/>
          <w:sz w:val="32"/>
          <w:szCs w:val="32"/>
          <w:highlight w:val="none"/>
        </w:rPr>
        <w:t xml:space="preserve"> 董事会应当积极维护出资人和公司的利益</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追求国有资产保值增值</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并妥善处理出资人</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公司</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高级管理人员</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职工之间的利益关系</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有效调动高级管理人员和职工的积极性</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促进公司的稳定和持续发展。</w:t>
      </w:r>
    </w:p>
    <w:p w14:paraId="31CF051C">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
          <w:color w:val="auto"/>
          <w:sz w:val="32"/>
          <w:szCs w:val="32"/>
          <w:highlight w:val="none"/>
        </w:rPr>
      </w:pPr>
      <w:r>
        <w:rPr>
          <w:rFonts w:hint="eastAsia" w:ascii="仿宋_GB2312" w:hAnsi="仿宋_GB2312" w:eastAsia="黑体" w:cs="仿宋_GB2312"/>
          <w:b w:val="0"/>
          <w:color w:val="auto"/>
          <w:sz w:val="32"/>
          <w:szCs w:val="32"/>
          <w:highlight w:val="none"/>
          <w:lang w:eastAsia="zh-CN"/>
        </w:rPr>
        <w:t>第六条</w:t>
      </w:r>
      <w:r>
        <w:rPr>
          <w:rFonts w:hint="eastAsia" w:ascii="仿宋_GB2312" w:hAnsi="仿宋_GB2312" w:eastAsia="仿宋_GB2312" w:cs="仿宋_GB2312"/>
          <w:b/>
          <w:color w:val="auto"/>
          <w:sz w:val="32"/>
          <w:szCs w:val="32"/>
          <w:highlight w:val="none"/>
        </w:rPr>
        <w:t xml:space="preserve">  </w:t>
      </w:r>
      <w:r>
        <w:rPr>
          <w:rFonts w:hint="eastAsia" w:ascii="黑体" w:hAnsi="黑体" w:eastAsia="黑体" w:cs="黑体"/>
          <w:color w:val="auto"/>
          <w:sz w:val="32"/>
          <w:szCs w:val="32"/>
          <w:highlight w:val="none"/>
        </w:rPr>
        <w:t>董事会依法行使以下职权</w:t>
      </w:r>
    </w:p>
    <w:p w14:paraId="5BBEA4FF">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（一）向出资人报告工作</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并执行其决定；</w:t>
      </w:r>
    </w:p>
    <w:p w14:paraId="0A606EB4">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（二）根据国家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省</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市产业政策和国有资产</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集团公司</w:t>
      </w:r>
      <w:r>
        <w:rPr>
          <w:rFonts w:hint="eastAsia" w:ascii="仿宋_GB2312" w:hAnsi="仿宋_GB2312" w:cs="仿宋_GB2312"/>
          <w:color w:val="auto"/>
          <w:sz w:val="32"/>
          <w:szCs w:val="32"/>
          <w:highlight w:val="none"/>
          <w:lang w:eastAsia="zh-CN"/>
        </w:rPr>
        <w:t>、资产管理公司</w:t>
      </w:r>
      <w:r>
        <w:rPr>
          <w:rFonts w:hint="eastAsia" w:ascii="仿宋_GB2312" w:hAnsi="仿宋_GB2312" w:eastAsia="仿宋_GB2312" w:cs="仿宋_GB2312"/>
          <w:color w:val="auto"/>
          <w:sz w:val="32"/>
          <w:szCs w:val="32"/>
          <w:highlight w:val="none"/>
        </w:rPr>
        <w:t>战略发展方向</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制订公司的发展战略和中长期规划</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年度经营目标</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投资计划</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重大会计政策和会计估计的变更</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并对实施情况进行监控；</w:t>
      </w:r>
    </w:p>
    <w:p w14:paraId="1C40FB60">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（三）审议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批准公司年度经营计划</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年度投资及融资计划</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其中年度投资及融资计划向</w:t>
      </w:r>
      <w:r>
        <w:rPr>
          <w:rFonts w:hint="eastAsia" w:ascii="仿宋_GB2312" w:hAnsi="仿宋_GB2312" w:cs="仿宋_GB2312"/>
          <w:color w:val="auto"/>
          <w:sz w:val="32"/>
          <w:szCs w:val="32"/>
          <w:highlight w:val="none"/>
          <w:lang w:eastAsia="zh-CN"/>
        </w:rPr>
        <w:t>资产管理</w:t>
      </w:r>
      <w:r>
        <w:rPr>
          <w:rFonts w:hint="eastAsia" w:ascii="仿宋_GB2312" w:hAnsi="仿宋_GB2312" w:eastAsia="仿宋_GB2312" w:cs="仿宋_GB2312"/>
          <w:color w:val="auto"/>
          <w:sz w:val="32"/>
          <w:szCs w:val="32"/>
          <w:highlight w:val="none"/>
        </w:rPr>
        <w:t>公司备案；</w:t>
      </w:r>
    </w:p>
    <w:p w14:paraId="20751FFD">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（四）</w:t>
      </w:r>
      <w:r>
        <w:rPr>
          <w:rFonts w:hint="eastAsia" w:ascii="仿宋_GB2312" w:hAnsi="Times New Roman" w:eastAsia="仿宋_GB2312" w:cs="仿宋_GB2312"/>
          <w:kern w:val="2"/>
          <w:sz w:val="32"/>
          <w:szCs w:val="32"/>
          <w:lang w:val="en-US" w:eastAsia="zh-CN" w:bidi="ar"/>
        </w:rPr>
        <w:t>审议批准</w:t>
      </w:r>
      <w:r>
        <w:rPr>
          <w:rFonts w:hint="eastAsia" w:ascii="仿宋_GB2312" w:hAnsi="仿宋_GB2312" w:eastAsia="仿宋_GB2312" w:cs="仿宋_GB2312"/>
          <w:color w:val="auto"/>
          <w:sz w:val="32"/>
          <w:szCs w:val="32"/>
          <w:highlight w:val="none"/>
        </w:rPr>
        <w:t>公司年度全面预算的预算报告</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决算报告</w:t>
      </w:r>
      <w:r>
        <w:rPr>
          <w:rFonts w:hint="eastAsia" w:ascii="仿宋_GB2312" w:hAnsi="仿宋_GB2312" w:cs="仿宋_GB2312"/>
          <w:color w:val="auto"/>
          <w:sz w:val="32"/>
          <w:szCs w:val="32"/>
          <w:highlight w:val="none"/>
          <w:lang w:eastAsia="zh-CN"/>
        </w:rPr>
        <w:t>；</w:t>
      </w:r>
      <w:r>
        <w:rPr>
          <w:rFonts w:hint="eastAsia" w:ascii="仿宋_GB2312" w:hAnsi="仿宋_GB2312" w:cs="仿宋_GB2312"/>
          <w:color w:val="auto"/>
          <w:sz w:val="32"/>
          <w:szCs w:val="32"/>
          <w:highlight w:val="none"/>
          <w:lang w:val="en-US" w:eastAsia="zh-CN"/>
        </w:rPr>
        <w:t>制定</w:t>
      </w:r>
      <w:r>
        <w:rPr>
          <w:rFonts w:hint="eastAsia" w:ascii="仿宋_GB2312" w:hAnsi="仿宋_GB2312" w:eastAsia="仿宋_GB2312" w:cs="仿宋_GB2312"/>
          <w:color w:val="auto"/>
          <w:sz w:val="32"/>
          <w:szCs w:val="32"/>
          <w:highlight w:val="none"/>
        </w:rPr>
        <w:t>利润分配方案和弥补亏损方案；</w:t>
      </w:r>
    </w:p>
    <w:p w14:paraId="6ACD68ED">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（五）制订公司增加或者减少注册资本</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发行债券和其他证券（包括企业债券</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中期票据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短期融资券等）以及公司合并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分立</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改制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解散</w:t>
      </w:r>
      <w:r>
        <w:rPr>
          <w:rFonts w:hint="eastAsia" w:ascii="仿宋_GB2312" w:hAnsi="仿宋_GB2312" w:cs="仿宋_GB2312"/>
          <w:color w:val="auto"/>
          <w:sz w:val="32"/>
          <w:szCs w:val="32"/>
          <w:highlight w:val="none"/>
          <w:lang w:eastAsia="zh-CN"/>
        </w:rPr>
        <w:t>、</w:t>
      </w:r>
      <w:r>
        <w:rPr>
          <w:rFonts w:hint="eastAsia" w:ascii="仿宋_GB2312" w:hAnsi="仿宋_GB2312" w:cs="仿宋_GB2312"/>
          <w:color w:val="auto"/>
          <w:sz w:val="32"/>
          <w:szCs w:val="32"/>
          <w:highlight w:val="none"/>
          <w:lang w:val="en-US" w:eastAsia="zh-CN"/>
        </w:rPr>
        <w:t>清算、</w:t>
      </w:r>
      <w:r>
        <w:rPr>
          <w:rFonts w:hint="eastAsia" w:ascii="仿宋_GB2312" w:hAnsi="仿宋_GB2312" w:eastAsia="仿宋_GB2312" w:cs="仿宋_GB2312"/>
          <w:color w:val="auto"/>
          <w:sz w:val="32"/>
          <w:szCs w:val="32"/>
          <w:highlight w:val="none"/>
        </w:rPr>
        <w:t>申请破产</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变更公司形式等方案；</w:t>
      </w:r>
    </w:p>
    <w:p w14:paraId="27418A70">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lang w:eastAsia="zh-CN"/>
        </w:rPr>
      </w:pPr>
      <w:r>
        <w:rPr>
          <w:rFonts w:hint="eastAsia" w:ascii="仿宋_GB2312" w:hAnsi="仿宋_GB2312" w:cs="仿宋_GB2312"/>
          <w:color w:val="auto"/>
          <w:sz w:val="32"/>
          <w:szCs w:val="32"/>
          <w:highlight w:val="none"/>
          <w:lang w:eastAsia="zh-CN"/>
        </w:rPr>
        <w:t>（六）</w:t>
      </w:r>
      <w:r>
        <w:rPr>
          <w:rFonts w:hint="eastAsia" w:ascii="仿宋_GB2312" w:hAnsi="仿宋_GB2312" w:eastAsia="仿宋_GB2312" w:cs="仿宋_GB2312"/>
          <w:color w:val="auto"/>
          <w:sz w:val="32"/>
          <w:szCs w:val="32"/>
          <w:highlight w:val="none"/>
        </w:rPr>
        <w:t>审议批准经理</w:t>
      </w:r>
      <w:r>
        <w:rPr>
          <w:rFonts w:hint="eastAsia" w:ascii="仿宋_GB2312" w:hAnsi="仿宋_GB2312" w:cs="仿宋_GB2312"/>
          <w:color w:val="auto"/>
          <w:sz w:val="32"/>
          <w:szCs w:val="32"/>
          <w:highlight w:val="none"/>
          <w:lang w:val="en-US" w:eastAsia="zh-CN"/>
        </w:rPr>
        <w:t>层</w:t>
      </w:r>
      <w:r>
        <w:rPr>
          <w:rFonts w:hint="eastAsia" w:ascii="仿宋_GB2312" w:hAnsi="仿宋_GB2312" w:eastAsia="仿宋_GB2312" w:cs="仿宋_GB2312"/>
          <w:color w:val="auto"/>
          <w:sz w:val="32"/>
          <w:szCs w:val="32"/>
          <w:highlight w:val="none"/>
        </w:rPr>
        <w:t>工作报告；</w:t>
      </w:r>
    </w:p>
    <w:p w14:paraId="38CE515C">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eastAsia="zh-CN"/>
        </w:rPr>
        <w:t>七</w:t>
      </w: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val="en-US" w:eastAsia="zh-CN"/>
        </w:rPr>
        <w:t>决定公司重大财产处置、对外担保、资金出借方案，以及内部重组改革重大事项方案</w:t>
      </w:r>
      <w:r>
        <w:rPr>
          <w:rFonts w:hint="eastAsia" w:ascii="仿宋_GB2312" w:hAnsi="仿宋_GB2312" w:eastAsia="仿宋_GB2312" w:cs="仿宋_GB2312"/>
          <w:color w:val="auto"/>
          <w:sz w:val="32"/>
          <w:szCs w:val="32"/>
          <w:highlight w:val="none"/>
        </w:rPr>
        <w:t>；</w:t>
      </w:r>
    </w:p>
    <w:p w14:paraId="4B540963">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eastAsia="zh-CN"/>
        </w:rPr>
        <w:t>八</w:t>
      </w:r>
      <w:r>
        <w:rPr>
          <w:rFonts w:hint="eastAsia" w:ascii="仿宋_GB2312" w:hAnsi="仿宋_GB2312" w:eastAsia="仿宋_GB2312" w:cs="仿宋_GB2312"/>
          <w:color w:val="auto"/>
          <w:sz w:val="32"/>
          <w:szCs w:val="32"/>
          <w:highlight w:val="none"/>
        </w:rPr>
        <w:t>）根据出资人推荐</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按照有关规定聘任或者解聘公司总经理</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副总经理</w:t>
      </w:r>
      <w:r>
        <w:rPr>
          <w:rFonts w:hint="eastAsia" w:ascii="仿宋_GB2312" w:eastAsia="仿宋_GB2312"/>
          <w:color w:val="auto"/>
          <w:sz w:val="32"/>
          <w:szCs w:val="32"/>
          <w:highlight w:val="none"/>
        </w:rPr>
        <w:t>等高级管理人员；决定聘任或解聘财务负责人</w:t>
      </w:r>
      <w:r>
        <w:rPr>
          <w:rFonts w:hint="eastAsia" w:ascii="仿宋_GB2312" w:hAnsi="仿宋_GB2312" w:eastAsia="仿宋_GB2312" w:cs="仿宋_GB2312"/>
          <w:color w:val="auto"/>
          <w:sz w:val="32"/>
          <w:szCs w:val="32"/>
          <w:highlight w:val="none"/>
        </w:rPr>
        <w:t>；</w:t>
      </w:r>
    </w:p>
    <w:p w14:paraId="25B14E6A">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eastAsia="zh-CN"/>
        </w:rPr>
        <w:t>九</w:t>
      </w:r>
      <w:r>
        <w:rPr>
          <w:rFonts w:hint="eastAsia" w:ascii="仿宋_GB2312" w:hAnsi="仿宋_GB2312" w:eastAsia="仿宋_GB2312" w:cs="仿宋_GB2312"/>
          <w:color w:val="auto"/>
          <w:sz w:val="32"/>
          <w:szCs w:val="32"/>
          <w:highlight w:val="none"/>
        </w:rPr>
        <w:t>）拟订公司《章程》及《章程》修订方案</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公司企业年金方案；</w:t>
      </w:r>
    </w:p>
    <w:p w14:paraId="423DF1F0">
      <w:pPr>
        <w:keepNext w:val="0"/>
        <w:keepLines w:val="0"/>
        <w:pageBreakBefore w:val="0"/>
        <w:widowControl w:val="0"/>
        <w:suppressLineNumbers w:val="0"/>
        <w:kinsoku w:val="0"/>
        <w:wordWrap/>
        <w:overflowPunct/>
        <w:topLinePunct w:val="0"/>
        <w:autoSpaceDE w:val="0"/>
        <w:autoSpaceDN w:val="0"/>
        <w:bidi w:val="0"/>
        <w:adjustRightInd w:val="0"/>
        <w:snapToGrid w:val="0"/>
        <w:spacing w:before="0" w:beforeLines="0" w:beforeAutospacing="0" w:after="0" w:afterLines="0" w:afterAutospacing="0" w:line="560" w:lineRule="exact"/>
        <w:ind w:left="0" w:right="0" w:firstLine="640" w:firstLineChars="200"/>
        <w:jc w:val="both"/>
        <w:textAlignment w:val="baseline"/>
        <w:rPr>
          <w:rFonts w:hint="eastAsia" w:ascii="仿宋_GB2312" w:eastAsia="仿宋_GB2312" w:cs="仿宋_GB2312"/>
          <w:kern w:val="2"/>
          <w:sz w:val="32"/>
          <w:szCs w:val="32"/>
          <w:vertAlign w:val="baseli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eastAsia="zh-CN"/>
        </w:rPr>
        <w:t>十</w:t>
      </w:r>
      <w:r>
        <w:rPr>
          <w:rFonts w:hint="eastAsia" w:ascii="仿宋_GB2312" w:hAnsi="仿宋_GB2312" w:eastAsia="仿宋_GB2312" w:cs="仿宋_GB2312"/>
          <w:color w:val="auto"/>
          <w:sz w:val="32"/>
          <w:szCs w:val="32"/>
          <w:highlight w:val="none"/>
        </w:rPr>
        <w:t>）</w:t>
      </w:r>
      <w:r>
        <w:rPr>
          <w:rFonts w:hint="eastAsia" w:ascii="仿宋_GB2312" w:hAnsi="Times New Roman" w:eastAsia="仿宋_GB2312" w:cs="仿宋_GB2312"/>
          <w:kern w:val="2"/>
          <w:sz w:val="32"/>
          <w:szCs w:val="32"/>
          <w:vertAlign w:val="baseline"/>
          <w:lang w:val="en-US" w:eastAsia="zh-CN" w:bidi="ar"/>
        </w:rPr>
        <w:t>决定公司内部管理机构的设置和基本管理制度（包括董事会议事规则、总经理办公会议议事规则、财务管理、内部审计、法律风险控制、人事薪酬管理、投资管理、资产管理、招标采购等制度）、内部员工资分配方案；</w:t>
      </w:r>
    </w:p>
    <w:p w14:paraId="18D6C3DE">
      <w:pPr>
        <w:pageBreakBefore w:val="0"/>
        <w:kinsoku w:val="0"/>
        <w:wordWrap/>
        <w:overflowPunct/>
        <w:topLinePunct w:val="0"/>
        <w:autoSpaceDE w:val="0"/>
        <w:autoSpaceDN w:val="0"/>
        <w:bidi w:val="0"/>
        <w:adjustRightInd w:val="0"/>
        <w:snapToGrid w:val="0"/>
        <w:spacing w:beforeAutospacing="0" w:afterAutospacing="0" w:line="560" w:lineRule="exact"/>
        <w:ind w:left="0" w:leftChars="0" w:right="0" w:rightChars="0"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（十一）制订公司的重大收入分配方案，包括工资总额预算与清算等；审议批准公司所属企业年度工资总额预算、决算方案；</w:t>
      </w:r>
    </w:p>
    <w:p w14:paraId="509C1BDB">
      <w:pPr>
        <w:pageBreakBefore w:val="0"/>
        <w:kinsoku w:val="0"/>
        <w:wordWrap/>
        <w:overflowPunct/>
        <w:topLinePunct w:val="0"/>
        <w:autoSpaceDE w:val="0"/>
        <w:autoSpaceDN w:val="0"/>
        <w:bidi w:val="0"/>
        <w:adjustRightInd w:val="0"/>
        <w:snapToGrid w:val="0"/>
        <w:spacing w:beforeAutospacing="0" w:afterAutospacing="0" w:line="560" w:lineRule="exact"/>
        <w:ind w:left="0" w:leftChars="0" w:right="0" w:rightChars="0"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（十二）决定公司风险管理体系、内部控制体系、法律合规体系，审议公司内部审计报告，依法批准年度审计计划和重要审计报告；</w:t>
      </w:r>
    </w:p>
    <w:p w14:paraId="3B3B7ED2">
      <w:pPr>
        <w:pageBreakBefore w:val="0"/>
        <w:kinsoku w:val="0"/>
        <w:wordWrap/>
        <w:overflowPunct/>
        <w:topLinePunct w:val="0"/>
        <w:autoSpaceDE w:val="0"/>
        <w:autoSpaceDN w:val="0"/>
        <w:bidi w:val="0"/>
        <w:adjustRightInd w:val="0"/>
        <w:snapToGrid w:val="0"/>
        <w:spacing w:beforeAutospacing="0" w:afterAutospacing="0" w:line="560" w:lineRule="exact"/>
        <w:ind w:left="0" w:leftChars="0" w:right="0" w:rightChars="0"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（十</w:t>
      </w:r>
      <w:r>
        <w:rPr>
          <w:rFonts w:hint="eastAsia" w:ascii="仿宋_GB2312" w:hAnsi="仿宋_GB2312" w:cs="仿宋_GB2312"/>
          <w:color w:val="auto"/>
          <w:sz w:val="32"/>
          <w:szCs w:val="32"/>
          <w:highlight w:val="none"/>
          <w:lang w:val="en-US" w:eastAsia="zh-CN"/>
        </w:rPr>
        <w:t>三</w:t>
      </w:r>
      <w:r>
        <w:rPr>
          <w:rFonts w:hint="eastAsia" w:ascii="仿宋_GB2312" w:hAnsi="仿宋_GB2312" w:eastAsia="仿宋_GB2312" w:cs="仿宋_GB2312"/>
          <w:color w:val="auto"/>
          <w:sz w:val="32"/>
          <w:szCs w:val="32"/>
          <w:highlight w:val="none"/>
        </w:rPr>
        <w:t>）审议公司主业确定及调整方案；</w:t>
      </w:r>
    </w:p>
    <w:p w14:paraId="1281CF83">
      <w:pPr>
        <w:pageBreakBefore w:val="0"/>
        <w:kinsoku w:val="0"/>
        <w:wordWrap/>
        <w:overflowPunct/>
        <w:topLinePunct w:val="0"/>
        <w:autoSpaceDE w:val="0"/>
        <w:autoSpaceDN w:val="0"/>
        <w:bidi w:val="0"/>
        <w:adjustRightInd w:val="0"/>
        <w:snapToGrid w:val="0"/>
        <w:spacing w:beforeAutospacing="0" w:afterAutospacing="0" w:line="560" w:lineRule="exact"/>
        <w:ind w:left="0" w:leftChars="0" w:right="0" w:rightChars="0"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（十</w:t>
      </w:r>
      <w:r>
        <w:rPr>
          <w:rFonts w:hint="eastAsia" w:ascii="仿宋_GB2312" w:hAnsi="仿宋_GB2312" w:cs="仿宋_GB2312"/>
          <w:color w:val="auto"/>
          <w:sz w:val="32"/>
          <w:szCs w:val="32"/>
          <w:highlight w:val="none"/>
          <w:lang w:val="en-US" w:eastAsia="zh-CN"/>
        </w:rPr>
        <w:t>四</w:t>
      </w:r>
      <w:r>
        <w:rPr>
          <w:rFonts w:hint="eastAsia" w:ascii="仿宋_GB2312" w:hAnsi="仿宋_GB2312" w:eastAsia="仿宋_GB2312" w:cs="仿宋_GB2312"/>
          <w:color w:val="auto"/>
          <w:sz w:val="32"/>
          <w:szCs w:val="32"/>
          <w:highlight w:val="none"/>
        </w:rPr>
        <w:t>）审议公司主业及非主业投资；</w:t>
      </w:r>
    </w:p>
    <w:p w14:paraId="4D2BB314">
      <w:pPr>
        <w:pageBreakBefore w:val="0"/>
        <w:kinsoku w:val="0"/>
        <w:wordWrap/>
        <w:overflowPunct/>
        <w:topLinePunct w:val="0"/>
        <w:autoSpaceDE w:val="0"/>
        <w:autoSpaceDN w:val="0"/>
        <w:bidi w:val="0"/>
        <w:adjustRightInd w:val="0"/>
        <w:snapToGrid w:val="0"/>
        <w:spacing w:beforeAutospacing="0" w:afterAutospacing="0" w:line="560" w:lineRule="exact"/>
        <w:ind w:left="0" w:leftChars="0" w:right="0" w:rightChars="0"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（十</w:t>
      </w:r>
      <w:r>
        <w:rPr>
          <w:rFonts w:hint="eastAsia" w:ascii="仿宋_GB2312" w:hAnsi="仿宋_GB2312" w:cs="仿宋_GB2312"/>
          <w:color w:val="auto"/>
          <w:sz w:val="32"/>
          <w:szCs w:val="32"/>
          <w:highlight w:val="none"/>
          <w:lang w:val="en-US" w:eastAsia="zh-CN"/>
        </w:rPr>
        <w:t>五</w:t>
      </w:r>
      <w:r>
        <w:rPr>
          <w:rFonts w:hint="eastAsia" w:ascii="仿宋_GB2312" w:hAnsi="仿宋_GB2312" w:eastAsia="仿宋_GB2312" w:cs="仿宋_GB2312"/>
          <w:color w:val="auto"/>
          <w:sz w:val="32"/>
          <w:szCs w:val="32"/>
          <w:highlight w:val="none"/>
        </w:rPr>
        <w:t>）审议批准公司捐赠和赞助，其中单次价值人民币30万元及以上的自主性大额捐赠事项，报</w:t>
      </w:r>
      <w:r>
        <w:rPr>
          <w:rFonts w:hint="eastAsia" w:ascii="仿宋_GB2312" w:hAnsi="仿宋_GB2312" w:cs="仿宋_GB2312"/>
          <w:color w:val="auto"/>
          <w:sz w:val="32"/>
          <w:szCs w:val="32"/>
          <w:highlight w:val="none"/>
          <w:lang w:val="en-US" w:eastAsia="zh-CN"/>
        </w:rPr>
        <w:t>资产管理</w:t>
      </w:r>
      <w:r>
        <w:rPr>
          <w:rFonts w:hint="eastAsia" w:ascii="仿宋_GB2312" w:hAnsi="仿宋_GB2312" w:eastAsia="仿宋_GB2312" w:cs="仿宋_GB2312"/>
          <w:color w:val="auto"/>
          <w:sz w:val="32"/>
          <w:szCs w:val="32"/>
          <w:highlight w:val="none"/>
        </w:rPr>
        <w:t>公司审核同意后实施；</w:t>
      </w:r>
    </w:p>
    <w:p w14:paraId="261DB214">
      <w:pPr>
        <w:pageBreakBefore w:val="0"/>
        <w:kinsoku w:val="0"/>
        <w:wordWrap/>
        <w:overflowPunct/>
        <w:topLinePunct w:val="0"/>
        <w:autoSpaceDE w:val="0"/>
        <w:autoSpaceDN w:val="0"/>
        <w:bidi w:val="0"/>
        <w:adjustRightInd w:val="0"/>
        <w:snapToGrid w:val="0"/>
        <w:spacing w:beforeAutospacing="0" w:afterAutospacing="0" w:line="560" w:lineRule="exact"/>
        <w:ind w:left="0" w:leftChars="0" w:right="0" w:rightChars="0"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（十</w:t>
      </w:r>
      <w:r>
        <w:rPr>
          <w:rFonts w:hint="eastAsia" w:ascii="仿宋_GB2312" w:hAnsi="仿宋_GB2312" w:cs="仿宋_GB2312"/>
          <w:color w:val="auto"/>
          <w:sz w:val="32"/>
          <w:szCs w:val="32"/>
          <w:highlight w:val="none"/>
          <w:lang w:val="en-US" w:eastAsia="zh-CN"/>
        </w:rPr>
        <w:t>六</w:t>
      </w:r>
      <w:r>
        <w:rPr>
          <w:rFonts w:hint="eastAsia" w:ascii="仿宋_GB2312" w:hAnsi="仿宋_GB2312" w:eastAsia="仿宋_GB2312" w:cs="仿宋_GB2312"/>
          <w:color w:val="auto"/>
          <w:sz w:val="32"/>
          <w:szCs w:val="32"/>
          <w:highlight w:val="none"/>
        </w:rPr>
        <w:t>）审议公司国有产权对外公开转让、通过公开方式非同比例增资导致国有股权比例下降的增资行为；</w:t>
      </w:r>
    </w:p>
    <w:p w14:paraId="33BF624A">
      <w:pPr>
        <w:pageBreakBefore w:val="0"/>
        <w:kinsoku w:val="0"/>
        <w:wordWrap/>
        <w:overflowPunct/>
        <w:topLinePunct w:val="0"/>
        <w:autoSpaceDE w:val="0"/>
        <w:autoSpaceDN w:val="0"/>
        <w:bidi w:val="0"/>
        <w:adjustRightInd w:val="0"/>
        <w:snapToGrid w:val="0"/>
        <w:spacing w:beforeAutospacing="0" w:afterAutospacing="0" w:line="560" w:lineRule="exact"/>
        <w:ind w:left="0" w:leftChars="0" w:right="0" w:rightChars="0"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（十</w:t>
      </w:r>
      <w:r>
        <w:rPr>
          <w:rFonts w:hint="eastAsia" w:ascii="仿宋_GB2312" w:hAnsi="仿宋_GB2312" w:cs="仿宋_GB2312"/>
          <w:color w:val="auto"/>
          <w:sz w:val="32"/>
          <w:szCs w:val="32"/>
          <w:highlight w:val="none"/>
          <w:lang w:val="en-US" w:eastAsia="zh-CN"/>
        </w:rPr>
        <w:t>七</w:t>
      </w:r>
      <w:r>
        <w:rPr>
          <w:rFonts w:hint="eastAsia" w:ascii="仿宋_GB2312" w:hAnsi="仿宋_GB2312" w:eastAsia="仿宋_GB2312" w:cs="仿宋_GB2312"/>
          <w:color w:val="auto"/>
          <w:sz w:val="32"/>
          <w:szCs w:val="32"/>
          <w:highlight w:val="none"/>
        </w:rPr>
        <w:t>）审议公司国有资产内部无偿划转方案；</w:t>
      </w:r>
    </w:p>
    <w:p w14:paraId="00535DA7">
      <w:pPr>
        <w:pageBreakBefore w:val="0"/>
        <w:kinsoku w:val="0"/>
        <w:wordWrap/>
        <w:overflowPunct/>
        <w:topLinePunct w:val="0"/>
        <w:autoSpaceDE w:val="0"/>
        <w:autoSpaceDN w:val="0"/>
        <w:bidi w:val="0"/>
        <w:adjustRightInd w:val="0"/>
        <w:snapToGrid w:val="0"/>
        <w:spacing w:beforeAutospacing="0" w:afterAutospacing="0" w:line="560" w:lineRule="exact"/>
        <w:ind w:left="0" w:leftChars="0" w:right="0" w:rightChars="0"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（十</w:t>
      </w:r>
      <w:r>
        <w:rPr>
          <w:rFonts w:hint="eastAsia" w:ascii="仿宋_GB2312" w:hAnsi="仿宋_GB2312" w:cs="仿宋_GB2312"/>
          <w:color w:val="auto"/>
          <w:sz w:val="32"/>
          <w:szCs w:val="32"/>
          <w:highlight w:val="none"/>
          <w:lang w:val="en-US" w:eastAsia="zh-CN"/>
        </w:rPr>
        <w:t>八</w:t>
      </w:r>
      <w:r>
        <w:rPr>
          <w:rFonts w:hint="eastAsia" w:ascii="仿宋_GB2312" w:hAnsi="仿宋_GB2312" w:eastAsia="仿宋_GB2312" w:cs="仿宋_GB2312"/>
          <w:color w:val="auto"/>
          <w:sz w:val="32"/>
          <w:szCs w:val="32"/>
          <w:highlight w:val="none"/>
        </w:rPr>
        <w:t>）审议公司因实施内部重组整合采取非公开协议方式转让国有产权方案；</w:t>
      </w:r>
    </w:p>
    <w:p w14:paraId="2A609483">
      <w:pPr>
        <w:pageBreakBefore w:val="0"/>
        <w:kinsoku w:val="0"/>
        <w:wordWrap/>
        <w:overflowPunct/>
        <w:topLinePunct w:val="0"/>
        <w:autoSpaceDE w:val="0"/>
        <w:autoSpaceDN w:val="0"/>
        <w:bidi w:val="0"/>
        <w:adjustRightInd w:val="0"/>
        <w:snapToGrid w:val="0"/>
        <w:spacing w:beforeAutospacing="0" w:afterAutospacing="0" w:line="560" w:lineRule="exact"/>
        <w:ind w:left="0" w:leftChars="0" w:right="0" w:rightChars="0"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w:t>
      </w:r>
      <w:r>
        <w:rPr>
          <w:rFonts w:hint="eastAsia" w:ascii="仿宋_GB2312" w:hAnsi="仿宋_GB2312" w:cs="仿宋_GB2312"/>
          <w:color w:val="auto"/>
          <w:sz w:val="32"/>
          <w:szCs w:val="32"/>
          <w:highlight w:val="none"/>
          <w:lang w:val="en-US" w:eastAsia="zh-CN"/>
        </w:rPr>
        <w:t>十九</w:t>
      </w:r>
      <w:r>
        <w:rPr>
          <w:rFonts w:hint="eastAsia" w:ascii="仿宋_GB2312" w:hAnsi="仿宋_GB2312" w:eastAsia="仿宋_GB2312" w:cs="仿宋_GB2312"/>
          <w:color w:val="auto"/>
          <w:sz w:val="32"/>
          <w:szCs w:val="32"/>
          <w:highlight w:val="none"/>
        </w:rPr>
        <w:t>）审议公司参与增资，企业债权转为股权，企业原股东同比例增资等情形采取非公开协议方式的增资方案；</w:t>
      </w:r>
    </w:p>
    <w:p w14:paraId="03422D23">
      <w:pPr>
        <w:pageBreakBefore w:val="0"/>
        <w:kinsoku w:val="0"/>
        <w:wordWrap/>
        <w:overflowPunct/>
        <w:topLinePunct w:val="0"/>
        <w:autoSpaceDE w:val="0"/>
        <w:autoSpaceDN w:val="0"/>
        <w:bidi w:val="0"/>
        <w:adjustRightInd w:val="0"/>
        <w:snapToGrid w:val="0"/>
        <w:spacing w:beforeAutospacing="0" w:afterAutospacing="0" w:line="560" w:lineRule="exact"/>
        <w:ind w:left="0" w:leftChars="0" w:right="0" w:rightChars="0"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二十）审议批准公司重大财产的转让、置换、租赁、抵押、质押，资产减值准备财务核销方案；公司因权证不齐等原因不具备公开招租条件的国有房产非公开租赁；公司与集团公司内部国有全资公司之间、同一控制下的母公司与其独资、全资子企业之间或独资、全资子企业之间以及股东及其持股比例完全相同的子企业之间的非公开租赁行为；</w:t>
      </w:r>
    </w:p>
    <w:p w14:paraId="0B1F09BD">
      <w:pPr>
        <w:pageBreakBefore w:val="0"/>
        <w:kinsoku w:val="0"/>
        <w:wordWrap/>
        <w:overflowPunct/>
        <w:topLinePunct w:val="0"/>
        <w:autoSpaceDE w:val="0"/>
        <w:autoSpaceDN w:val="0"/>
        <w:bidi w:val="0"/>
        <w:adjustRightInd w:val="0"/>
        <w:snapToGrid w:val="0"/>
        <w:spacing w:beforeAutospacing="0" w:afterAutospacing="0" w:line="560" w:lineRule="exact"/>
        <w:ind w:left="0" w:leftChars="0" w:right="0" w:rightChars="0"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（二十</w:t>
      </w:r>
      <w:r>
        <w:rPr>
          <w:rFonts w:hint="eastAsia" w:ascii="仿宋_GB2312" w:hAnsi="仿宋_GB2312" w:cs="仿宋_GB2312"/>
          <w:color w:val="auto"/>
          <w:sz w:val="32"/>
          <w:szCs w:val="32"/>
          <w:highlight w:val="none"/>
          <w:lang w:val="en-US" w:eastAsia="zh-CN"/>
        </w:rPr>
        <w:t>一</w:t>
      </w:r>
      <w:r>
        <w:rPr>
          <w:rFonts w:hint="eastAsia" w:ascii="仿宋_GB2312" w:hAnsi="仿宋_GB2312" w:eastAsia="仿宋_GB2312" w:cs="仿宋_GB2312"/>
          <w:color w:val="auto"/>
          <w:sz w:val="32"/>
          <w:szCs w:val="32"/>
          <w:highlight w:val="none"/>
        </w:rPr>
        <w:t>）研究决定重要设备和技术引进、采购大宗物资和重大工程建设项目等企业重大项目安排事项；</w:t>
      </w:r>
    </w:p>
    <w:p w14:paraId="5D96187F">
      <w:pPr>
        <w:pageBreakBefore w:val="0"/>
        <w:kinsoku w:val="0"/>
        <w:wordWrap/>
        <w:overflowPunct/>
        <w:topLinePunct w:val="0"/>
        <w:autoSpaceDE w:val="0"/>
        <w:autoSpaceDN w:val="0"/>
        <w:bidi w:val="0"/>
        <w:adjustRightInd w:val="0"/>
        <w:snapToGrid w:val="0"/>
        <w:spacing w:beforeAutospacing="0" w:afterAutospacing="0" w:line="560" w:lineRule="exact"/>
        <w:ind w:left="0" w:leftChars="0" w:right="0" w:rightChars="0"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（二十</w:t>
      </w:r>
      <w:r>
        <w:rPr>
          <w:rFonts w:hint="eastAsia" w:ascii="仿宋_GB2312" w:hAnsi="仿宋_GB2312" w:cs="仿宋_GB2312"/>
          <w:color w:val="auto"/>
          <w:sz w:val="32"/>
          <w:szCs w:val="32"/>
          <w:highlight w:val="none"/>
          <w:lang w:val="en-US" w:eastAsia="zh-CN"/>
        </w:rPr>
        <w:t>二</w:t>
      </w:r>
      <w:r>
        <w:rPr>
          <w:rFonts w:hint="eastAsia" w:ascii="仿宋_GB2312" w:hAnsi="仿宋_GB2312" w:eastAsia="仿宋_GB2312" w:cs="仿宋_GB2312"/>
          <w:color w:val="auto"/>
          <w:sz w:val="32"/>
          <w:szCs w:val="32"/>
          <w:highlight w:val="none"/>
        </w:rPr>
        <w:t>）审议批准公司开展证券、委托理财、期货、期权和远期、掉期等组合产品及其他金融衍生类业务方案；</w:t>
      </w:r>
    </w:p>
    <w:p w14:paraId="284B4B31">
      <w:pPr>
        <w:pageBreakBefore w:val="0"/>
        <w:kinsoku w:val="0"/>
        <w:wordWrap/>
        <w:overflowPunct/>
        <w:topLinePunct w:val="0"/>
        <w:autoSpaceDE w:val="0"/>
        <w:autoSpaceDN w:val="0"/>
        <w:bidi w:val="0"/>
        <w:adjustRightInd w:val="0"/>
        <w:snapToGrid w:val="0"/>
        <w:spacing w:beforeAutospacing="0" w:afterAutospacing="0" w:line="560" w:lineRule="exact"/>
        <w:ind w:left="0" w:leftChars="0" w:right="0" w:rightChars="0"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（二十</w:t>
      </w:r>
      <w:r>
        <w:rPr>
          <w:rFonts w:hint="eastAsia" w:ascii="仿宋_GB2312" w:hAnsi="仿宋_GB2312" w:cs="仿宋_GB2312"/>
          <w:color w:val="auto"/>
          <w:sz w:val="32"/>
          <w:szCs w:val="32"/>
          <w:highlight w:val="none"/>
          <w:lang w:val="en-US" w:eastAsia="zh-CN"/>
        </w:rPr>
        <w:t>三</w:t>
      </w:r>
      <w:r>
        <w:rPr>
          <w:rFonts w:hint="eastAsia" w:ascii="仿宋_GB2312" w:hAnsi="仿宋_GB2312" w:eastAsia="仿宋_GB2312" w:cs="仿宋_GB2312"/>
          <w:color w:val="auto"/>
          <w:sz w:val="32"/>
          <w:szCs w:val="32"/>
          <w:highlight w:val="none"/>
        </w:rPr>
        <w:t>）审议公司不涉及控股地位变化的增减注册资本、解散、申请破产等方案；</w:t>
      </w:r>
    </w:p>
    <w:p w14:paraId="27EF2C39">
      <w:pPr>
        <w:pageBreakBefore w:val="0"/>
        <w:kinsoku w:val="0"/>
        <w:wordWrap/>
        <w:overflowPunct/>
        <w:topLinePunct w:val="0"/>
        <w:autoSpaceDE w:val="0"/>
        <w:autoSpaceDN w:val="0"/>
        <w:bidi w:val="0"/>
        <w:adjustRightInd w:val="0"/>
        <w:snapToGrid w:val="0"/>
        <w:spacing w:beforeAutospacing="0" w:afterAutospacing="0" w:line="560" w:lineRule="exact"/>
        <w:ind w:left="0" w:leftChars="0" w:right="0" w:rightChars="0"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（二十</w:t>
      </w:r>
      <w:r>
        <w:rPr>
          <w:rFonts w:hint="eastAsia" w:ascii="仿宋_GB2312" w:hAnsi="仿宋_GB2312" w:cs="仿宋_GB2312"/>
          <w:color w:val="auto"/>
          <w:sz w:val="32"/>
          <w:szCs w:val="32"/>
          <w:highlight w:val="none"/>
          <w:lang w:val="en-US" w:eastAsia="zh-CN"/>
        </w:rPr>
        <w:t>四</w:t>
      </w:r>
      <w:r>
        <w:rPr>
          <w:rFonts w:hint="eastAsia" w:ascii="仿宋_GB2312" w:hAnsi="仿宋_GB2312" w:eastAsia="仿宋_GB2312" w:cs="仿宋_GB2312"/>
          <w:color w:val="auto"/>
          <w:sz w:val="32"/>
          <w:szCs w:val="32"/>
          <w:highlight w:val="none"/>
        </w:rPr>
        <w:t>）决定并聘请会计师事务所对公司年度会计报告进行审计；</w:t>
      </w:r>
    </w:p>
    <w:p w14:paraId="3BB8139E">
      <w:pPr>
        <w:pageBreakBefore w:val="0"/>
        <w:kinsoku w:val="0"/>
        <w:wordWrap/>
        <w:overflowPunct/>
        <w:topLinePunct w:val="0"/>
        <w:autoSpaceDE w:val="0"/>
        <w:autoSpaceDN w:val="0"/>
        <w:bidi w:val="0"/>
        <w:adjustRightInd w:val="0"/>
        <w:snapToGrid w:val="0"/>
        <w:spacing w:beforeAutospacing="0" w:afterAutospacing="0" w:line="560" w:lineRule="exact"/>
        <w:ind w:left="0" w:leftChars="0" w:right="0" w:rightChars="0"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（二十</w:t>
      </w:r>
      <w:r>
        <w:rPr>
          <w:rFonts w:hint="eastAsia" w:ascii="仿宋_GB2312" w:hAnsi="仿宋_GB2312" w:cs="仿宋_GB2312"/>
          <w:color w:val="auto"/>
          <w:sz w:val="32"/>
          <w:szCs w:val="32"/>
          <w:highlight w:val="none"/>
          <w:lang w:val="en-US" w:eastAsia="zh-CN"/>
        </w:rPr>
        <w:t>五</w:t>
      </w:r>
      <w:r>
        <w:rPr>
          <w:rFonts w:hint="eastAsia" w:ascii="仿宋_GB2312" w:hAnsi="仿宋_GB2312" w:eastAsia="仿宋_GB2312" w:cs="仿宋_GB2312"/>
          <w:color w:val="auto"/>
          <w:sz w:val="32"/>
          <w:szCs w:val="32"/>
          <w:highlight w:val="none"/>
        </w:rPr>
        <w:t>）审议公司按法律法规要求审批的关联方交易，报</w:t>
      </w:r>
      <w:r>
        <w:rPr>
          <w:rFonts w:hint="eastAsia" w:ascii="仿宋_GB2312" w:hAnsi="仿宋_GB2312" w:cs="仿宋_GB2312"/>
          <w:color w:val="auto"/>
          <w:sz w:val="32"/>
          <w:szCs w:val="32"/>
          <w:highlight w:val="none"/>
          <w:lang w:val="en-US" w:eastAsia="zh-CN"/>
        </w:rPr>
        <w:t>资产管理</w:t>
      </w:r>
      <w:r>
        <w:rPr>
          <w:rFonts w:hint="eastAsia" w:ascii="仿宋_GB2312" w:hAnsi="仿宋_GB2312" w:eastAsia="仿宋_GB2312" w:cs="仿宋_GB2312"/>
          <w:color w:val="auto"/>
          <w:sz w:val="32"/>
          <w:szCs w:val="32"/>
          <w:highlight w:val="none"/>
        </w:rPr>
        <w:t>公司审核批准；</w:t>
      </w:r>
    </w:p>
    <w:p w14:paraId="7ED9A726">
      <w:pPr>
        <w:pageBreakBefore w:val="0"/>
        <w:kinsoku w:val="0"/>
        <w:wordWrap/>
        <w:overflowPunct/>
        <w:topLinePunct w:val="0"/>
        <w:autoSpaceDE w:val="0"/>
        <w:autoSpaceDN w:val="0"/>
        <w:bidi w:val="0"/>
        <w:adjustRightInd w:val="0"/>
        <w:snapToGrid w:val="0"/>
        <w:spacing w:beforeAutospacing="0" w:afterAutospacing="0" w:line="560" w:lineRule="exact"/>
        <w:ind w:left="0" w:leftChars="0" w:right="0" w:rightChars="0" w:firstLine="640" w:firstLineChars="200"/>
        <w:textAlignment w:val="baseline"/>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（二十</w:t>
      </w:r>
      <w:r>
        <w:rPr>
          <w:rFonts w:hint="eastAsia" w:ascii="仿宋_GB2312" w:hAnsi="仿宋_GB2312" w:cs="仿宋_GB2312"/>
          <w:color w:val="auto"/>
          <w:sz w:val="32"/>
          <w:szCs w:val="32"/>
          <w:highlight w:val="none"/>
          <w:lang w:val="en-US" w:eastAsia="zh-CN"/>
        </w:rPr>
        <w:t>六</w:t>
      </w:r>
      <w:r>
        <w:rPr>
          <w:rFonts w:hint="eastAsia" w:ascii="仿宋_GB2312" w:hAnsi="仿宋_GB2312" w:eastAsia="仿宋_GB2312" w:cs="仿宋_GB2312"/>
          <w:color w:val="auto"/>
          <w:sz w:val="32"/>
          <w:szCs w:val="32"/>
          <w:highlight w:val="none"/>
        </w:rPr>
        <w:t>）决定董事会专门委员会组成成员；</w:t>
      </w:r>
    </w:p>
    <w:p w14:paraId="64D3095B">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（二十</w:t>
      </w:r>
      <w:r>
        <w:rPr>
          <w:rFonts w:hint="eastAsia" w:ascii="仿宋_GB2312" w:hAnsi="仿宋_GB2312" w:cs="仿宋_GB2312"/>
          <w:color w:val="auto"/>
          <w:sz w:val="32"/>
          <w:szCs w:val="32"/>
          <w:highlight w:val="none"/>
          <w:lang w:val="en-US" w:eastAsia="zh-CN"/>
        </w:rPr>
        <w:t>七</w:t>
      </w:r>
      <w:r>
        <w:rPr>
          <w:rFonts w:hint="eastAsia" w:ascii="仿宋_GB2312" w:hAnsi="仿宋_GB2312" w:eastAsia="仿宋_GB2312" w:cs="仿宋_GB2312"/>
          <w:color w:val="auto"/>
          <w:sz w:val="32"/>
          <w:szCs w:val="32"/>
          <w:highlight w:val="none"/>
        </w:rPr>
        <w:t>）《公司法》《企业国有资产法》等有关法律法规规定的其他职权；出资人授予的其他职权及应由董事会讨论决定的其他职权。</w:t>
      </w:r>
    </w:p>
    <w:p w14:paraId="072F8764">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上述董事会决定</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制定</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审议批准事项中</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除向</w:t>
      </w:r>
      <w:r>
        <w:rPr>
          <w:rFonts w:hint="eastAsia" w:ascii="仿宋_GB2312" w:hAnsi="仿宋_GB2312" w:cs="仿宋_GB2312"/>
          <w:color w:val="auto"/>
          <w:sz w:val="32"/>
          <w:szCs w:val="32"/>
          <w:highlight w:val="none"/>
          <w:lang w:eastAsia="zh-CN"/>
        </w:rPr>
        <w:t>资产管理</w:t>
      </w:r>
      <w:r>
        <w:rPr>
          <w:rFonts w:hint="eastAsia" w:ascii="仿宋_GB2312" w:hAnsi="仿宋_GB2312" w:eastAsia="仿宋_GB2312" w:cs="仿宋_GB2312"/>
          <w:color w:val="auto"/>
          <w:sz w:val="32"/>
          <w:szCs w:val="32"/>
          <w:highlight w:val="none"/>
        </w:rPr>
        <w:t>公司备案的事项外</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其他事项按有关规定在董事会形成决议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决定后</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向</w:t>
      </w:r>
      <w:r>
        <w:rPr>
          <w:rFonts w:hint="eastAsia" w:ascii="仿宋_GB2312" w:hAnsi="仿宋_GB2312" w:cs="仿宋_GB2312"/>
          <w:color w:val="auto"/>
          <w:sz w:val="32"/>
          <w:szCs w:val="32"/>
          <w:highlight w:val="none"/>
          <w:lang w:eastAsia="zh-CN"/>
        </w:rPr>
        <w:t>资产管理</w:t>
      </w:r>
      <w:r>
        <w:rPr>
          <w:rFonts w:hint="eastAsia" w:ascii="仿宋_GB2312" w:hAnsi="仿宋_GB2312" w:eastAsia="仿宋_GB2312" w:cs="仿宋_GB2312"/>
          <w:color w:val="auto"/>
          <w:sz w:val="32"/>
          <w:szCs w:val="32"/>
          <w:highlight w:val="none"/>
        </w:rPr>
        <w:t>公司报告。按照国家相关法律法规和相关规定</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须由</w:t>
      </w:r>
      <w:r>
        <w:rPr>
          <w:rFonts w:hint="eastAsia" w:ascii="仿宋_GB2312" w:hAnsi="仿宋_GB2312" w:cs="仿宋_GB2312"/>
          <w:color w:val="auto"/>
          <w:sz w:val="32"/>
          <w:szCs w:val="32"/>
          <w:highlight w:val="none"/>
          <w:lang w:eastAsia="zh-CN"/>
        </w:rPr>
        <w:t>资产管理</w:t>
      </w:r>
      <w:r>
        <w:rPr>
          <w:rFonts w:hint="eastAsia" w:ascii="仿宋_GB2312" w:hAnsi="仿宋_GB2312" w:eastAsia="仿宋_GB2312" w:cs="仿宋_GB2312"/>
          <w:color w:val="auto"/>
          <w:sz w:val="32"/>
          <w:szCs w:val="32"/>
          <w:highlight w:val="none"/>
        </w:rPr>
        <w:t>公司审批的事项</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从其规定。</w:t>
      </w:r>
    </w:p>
    <w:p w14:paraId="0E73F7A3">
      <w:pPr>
        <w:pageBreakBefore w:val="0"/>
        <w:wordWrap/>
        <w:overflowPunct/>
        <w:topLinePunct w:val="0"/>
        <w:bidi w:val="0"/>
        <w:spacing w:beforeAutospacing="0" w:afterAutospacing="0" w:line="560" w:lineRule="exact"/>
        <w:ind w:left="0" w:leftChars="0" w:right="0" w:rightChars="0" w:firstLine="0" w:firstLineChars="0"/>
        <w:jc w:val="center"/>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第三章  董事会会议制度</w:t>
      </w:r>
    </w:p>
    <w:p w14:paraId="13992EEB">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第七条</w:t>
      </w:r>
      <w:r>
        <w:rPr>
          <w:rFonts w:hint="eastAsia" w:ascii="仿宋_GB2312" w:hAnsi="仿宋_GB2312" w:eastAsia="仿宋_GB2312" w:cs="仿宋_GB2312"/>
          <w:color w:val="auto"/>
          <w:sz w:val="32"/>
          <w:szCs w:val="32"/>
          <w:highlight w:val="none"/>
        </w:rPr>
        <w:t xml:space="preserve">  董事议事通过董事会议形式进行</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董事会会议分为定期会议和临时会议。董事会议由董事长负责召集和主持。董事长不能履行职务或不履行职务时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由半数以上董事共同推举一名董事履行。</w:t>
      </w:r>
    </w:p>
    <w:p w14:paraId="09451022">
      <w:pPr>
        <w:keepNext w:val="0"/>
        <w:keepLines w:val="0"/>
        <w:pageBreakBefore w:val="0"/>
        <w:widowControl w:val="0"/>
        <w:suppressLineNumbers w:val="0"/>
        <w:wordWrap/>
        <w:overflowPunct/>
        <w:topLinePunct w:val="0"/>
        <w:bidi w:val="0"/>
        <w:spacing w:before="0" w:beforeLines="0" w:beforeAutospacing="0" w:after="0" w:afterLines="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仿宋_GB2312" w:eastAsia="黑体" w:cs="仿宋_GB2312"/>
          <w:b w:val="0"/>
          <w:color w:val="auto"/>
          <w:sz w:val="32"/>
          <w:szCs w:val="32"/>
          <w:highlight w:val="none"/>
          <w:lang w:eastAsia="zh-CN"/>
        </w:rPr>
        <w:t>第八条</w:t>
      </w:r>
      <w:r>
        <w:rPr>
          <w:rFonts w:hint="eastAsia" w:ascii="仿宋_GB2312" w:hAnsi="仿宋_GB2312" w:eastAsia="仿宋_GB2312" w:cs="仿宋_GB2312"/>
          <w:color w:val="auto"/>
          <w:sz w:val="32"/>
          <w:szCs w:val="32"/>
          <w:highlight w:val="none"/>
        </w:rPr>
        <w:t xml:space="preserve">  董事会</w:t>
      </w:r>
      <w:r>
        <w:rPr>
          <w:rFonts w:hint="eastAsia" w:ascii="仿宋_GB2312" w:hAnsi="仿宋_GB2312" w:cs="仿宋_GB2312"/>
          <w:color w:val="auto"/>
          <w:sz w:val="32"/>
          <w:szCs w:val="32"/>
          <w:highlight w:val="none"/>
          <w:lang w:val="en-US" w:eastAsia="zh-CN"/>
        </w:rPr>
        <w:t>年度</w:t>
      </w:r>
      <w:r>
        <w:rPr>
          <w:rFonts w:hint="eastAsia" w:ascii="仿宋_GB2312" w:hAnsi="仿宋_GB2312" w:eastAsia="仿宋_GB2312" w:cs="仿宋_GB2312"/>
          <w:color w:val="auto"/>
          <w:sz w:val="32"/>
          <w:szCs w:val="32"/>
          <w:highlight w:val="none"/>
        </w:rPr>
        <w:t>会议每年定期召开</w:t>
      </w:r>
      <w:r>
        <w:rPr>
          <w:rFonts w:hint="eastAsia" w:ascii="仿宋_GB2312" w:hAnsi="仿宋_GB2312" w:cs="仿宋_GB2312"/>
          <w:color w:val="auto"/>
          <w:sz w:val="32"/>
          <w:szCs w:val="32"/>
          <w:highlight w:val="none"/>
          <w:lang w:val="en-US" w:eastAsia="zh-CN"/>
        </w:rPr>
        <w:t>一</w:t>
      </w:r>
      <w:r>
        <w:rPr>
          <w:rFonts w:hint="eastAsia" w:ascii="仿宋_GB2312" w:hAnsi="仿宋_GB2312" w:eastAsia="仿宋_GB2312" w:cs="仿宋_GB2312"/>
          <w:color w:val="auto"/>
          <w:sz w:val="32"/>
          <w:szCs w:val="32"/>
          <w:highlight w:val="none"/>
        </w:rPr>
        <w:t>次</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一般在</w:t>
      </w:r>
      <w:r>
        <w:rPr>
          <w:rFonts w:hint="eastAsia" w:ascii="仿宋_GB2312" w:hAnsi="仿宋_GB2312" w:cs="仿宋_GB2312"/>
          <w:color w:val="auto"/>
          <w:sz w:val="32"/>
          <w:szCs w:val="32"/>
          <w:highlight w:val="none"/>
          <w:lang w:val="en-US" w:eastAsia="zh-CN"/>
        </w:rPr>
        <w:t>3</w:t>
      </w:r>
      <w:r>
        <w:rPr>
          <w:rFonts w:hint="eastAsia" w:ascii="仿宋_GB2312" w:hAnsi="仿宋_GB2312" w:eastAsia="仿宋_GB2312" w:cs="仿宋_GB2312"/>
          <w:color w:val="auto"/>
          <w:sz w:val="32"/>
          <w:szCs w:val="32"/>
          <w:highlight w:val="none"/>
        </w:rPr>
        <w:t>月召开</w:t>
      </w:r>
      <w:r>
        <w:rPr>
          <w:rFonts w:hint="eastAsia" w:ascii="仿宋_GB2312" w:hAnsi="仿宋_GB2312" w:cs="仿宋_GB2312"/>
          <w:color w:val="auto"/>
          <w:sz w:val="32"/>
          <w:szCs w:val="32"/>
          <w:highlight w:val="none"/>
          <w:lang w:eastAsia="zh-CN"/>
        </w:rPr>
        <w:t>，</w:t>
      </w:r>
      <w:r>
        <w:rPr>
          <w:rFonts w:hint="eastAsia" w:ascii="仿宋_GB2312" w:hAnsi="Times New Roman" w:eastAsia="仿宋_GB2312" w:cs="仿宋_GB2312"/>
          <w:kern w:val="2"/>
          <w:sz w:val="32"/>
          <w:szCs w:val="32"/>
          <w:lang w:val="en-US" w:eastAsia="zh-CN" w:bidi="ar"/>
        </w:rPr>
        <w:t>会议计划应当在上年度董事会年度报告中写明。除不可抗力因素外，董事会定期会议须以现场会议形式举行。临时会议原则上采用现场会议形式，不得随意简化或者变更决策程序；当遇到紧急事项且董事能够掌握足够信息进行表决时，也可采用视频会议、电话会议或形成书面材料分别审议的形式对议案作出决议。定期会议通知和所需的文件、信息及其他资料，应当在会议召开5日前送达全体董事及其他列席人员。</w:t>
      </w:r>
    </w:p>
    <w:p w14:paraId="5076A208">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Times New Roman" w:eastAsia="仿宋_GB2312" w:cs="仿宋_GB2312"/>
          <w:kern w:val="2"/>
          <w:sz w:val="32"/>
          <w:szCs w:val="32"/>
          <w:lang w:val="en-US" w:eastAsia="zh-CN" w:bidi="ar"/>
        </w:rPr>
        <w:t>有下列情形之一的，董事长应当自接到提议后5日内，召集并主持董事会临时会议：</w:t>
      </w:r>
    </w:p>
    <w:p w14:paraId="6AB8B9A8">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（一）董事长提议；</w:t>
      </w:r>
    </w:p>
    <w:p w14:paraId="6CE6F452">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（二）总经理提议；</w:t>
      </w:r>
    </w:p>
    <w:p w14:paraId="60EC0C7E">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（三）三分之一以上的董事提议。</w:t>
      </w:r>
    </w:p>
    <w:p w14:paraId="4C50829F">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第九条</w:t>
      </w:r>
      <w:r>
        <w:rPr>
          <w:rFonts w:hint="eastAsia" w:ascii="仿宋_GB2312" w:hAnsi="仿宋_GB2312" w:eastAsia="仿宋_GB2312" w:cs="仿宋_GB2312"/>
          <w:b/>
          <w:color w:val="auto"/>
          <w:sz w:val="32"/>
          <w:szCs w:val="32"/>
          <w:highlight w:val="none"/>
        </w:rPr>
        <w:t xml:space="preserve"> </w:t>
      </w:r>
      <w:r>
        <w:rPr>
          <w:rFonts w:hint="eastAsia" w:ascii="仿宋_GB2312" w:hAnsi="仿宋_GB2312" w:eastAsia="仿宋_GB2312" w:cs="仿宋_GB2312"/>
          <w:color w:val="auto"/>
          <w:sz w:val="32"/>
          <w:szCs w:val="32"/>
          <w:highlight w:val="none"/>
        </w:rPr>
        <w:t xml:space="preserve"> 召开临时董事会一般应当于会议召开</w:t>
      </w:r>
      <w:r>
        <w:rPr>
          <w:rFonts w:hint="eastAsia" w:ascii="仿宋_GB2312" w:hAnsi="仿宋_GB2312" w:cs="仿宋_GB2312"/>
          <w:color w:val="auto"/>
          <w:sz w:val="32"/>
          <w:szCs w:val="32"/>
          <w:highlight w:val="none"/>
          <w:lang w:val="en-US" w:eastAsia="zh-CN"/>
        </w:rPr>
        <w:t>3</w:t>
      </w:r>
      <w:r>
        <w:rPr>
          <w:rFonts w:hint="eastAsia" w:ascii="仿宋_GB2312" w:hAnsi="仿宋_GB2312" w:eastAsia="仿宋_GB2312" w:cs="仿宋_GB2312"/>
          <w:color w:val="auto"/>
          <w:sz w:val="32"/>
          <w:szCs w:val="32"/>
          <w:highlight w:val="none"/>
        </w:rPr>
        <w:t>日前将会议通知（必要时应附会议材料）</w:t>
      </w:r>
      <w:r>
        <w:rPr>
          <w:rFonts w:hint="eastAsia" w:ascii="仿宋_GB2312" w:hAnsi="仿宋_GB2312" w:cs="仿宋_GB2312"/>
          <w:color w:val="auto"/>
          <w:sz w:val="32"/>
          <w:szCs w:val="32"/>
          <w:highlight w:val="none"/>
          <w:lang w:val="en-US" w:eastAsia="zh-CN"/>
        </w:rPr>
        <w:t>送达</w:t>
      </w:r>
      <w:r>
        <w:rPr>
          <w:rFonts w:hint="eastAsia" w:ascii="仿宋_GB2312" w:hAnsi="仿宋_GB2312" w:eastAsia="仿宋_GB2312" w:cs="仿宋_GB2312"/>
          <w:color w:val="auto"/>
          <w:sz w:val="32"/>
          <w:szCs w:val="32"/>
          <w:highlight w:val="none"/>
        </w:rPr>
        <w:t>全体董事及其他参加会议人员。会议通知应当至少包括以下内容：</w:t>
      </w:r>
    </w:p>
    <w:p w14:paraId="6F0E51C0">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（一）会议的时间和地点；</w:t>
      </w:r>
    </w:p>
    <w:p w14:paraId="5E2704A7">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（二）会议议题；</w:t>
      </w:r>
    </w:p>
    <w:p w14:paraId="32CFD423">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（三）董事会表决所必需的会议材料。</w:t>
      </w:r>
    </w:p>
    <w:p w14:paraId="3069165F">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口头会议通知至少应包括上述第</w:t>
      </w:r>
      <w:r>
        <w:rPr>
          <w:rFonts w:hint="eastAsia" w:ascii="仿宋_GB2312" w:hAnsi="仿宋_GB2312" w:cs="仿宋_GB2312"/>
          <w:color w:val="auto"/>
          <w:sz w:val="32"/>
          <w:szCs w:val="32"/>
          <w:highlight w:val="none"/>
          <w:lang w:eastAsia="zh-CN"/>
        </w:rPr>
        <w:t>（</w:t>
      </w:r>
      <w:r>
        <w:rPr>
          <w:rFonts w:hint="eastAsia" w:ascii="仿宋_GB2312" w:hAnsi="仿宋_GB2312" w:cs="仿宋_GB2312"/>
          <w:color w:val="auto"/>
          <w:sz w:val="32"/>
          <w:szCs w:val="32"/>
          <w:highlight w:val="none"/>
          <w:lang w:val="en-US" w:eastAsia="zh-CN"/>
        </w:rPr>
        <w:t>一</w:t>
      </w:r>
      <w:r>
        <w:rPr>
          <w:rFonts w:hint="eastAsia" w:ascii="仿宋_GB2312" w:hAnsi="仿宋_GB2312" w:cs="仿宋_GB2312"/>
          <w:color w:val="auto"/>
          <w:sz w:val="32"/>
          <w:szCs w:val="32"/>
          <w:highlight w:val="none"/>
          <w:lang w:eastAsia="zh-CN"/>
        </w:rPr>
        <w:t>）、（</w:t>
      </w:r>
      <w:r>
        <w:rPr>
          <w:rFonts w:hint="eastAsia" w:ascii="仿宋_GB2312" w:hAnsi="仿宋_GB2312" w:cs="仿宋_GB2312"/>
          <w:color w:val="auto"/>
          <w:sz w:val="32"/>
          <w:szCs w:val="32"/>
          <w:highlight w:val="none"/>
          <w:lang w:val="en-US" w:eastAsia="zh-CN"/>
        </w:rPr>
        <w:t>二</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项内容。</w:t>
      </w:r>
    </w:p>
    <w:p w14:paraId="37710D18">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第十条</w:t>
      </w:r>
      <w:r>
        <w:rPr>
          <w:rFonts w:hint="eastAsia" w:ascii="仿宋_GB2312" w:hAnsi="仿宋_GB2312" w:eastAsia="仿宋_GB2312" w:cs="仿宋_GB2312"/>
          <w:color w:val="auto"/>
          <w:sz w:val="32"/>
          <w:szCs w:val="32"/>
          <w:highlight w:val="none"/>
        </w:rPr>
        <w:t xml:space="preserve">  董事会议题及有关材料须填报</w:t>
      </w:r>
      <w:r>
        <w:rPr>
          <w:rFonts w:hint="eastAsia" w:ascii="仿宋_GB2312" w:hAnsi="仿宋_GB2312" w:cs="仿宋_GB2312"/>
          <w:color w:val="auto"/>
          <w:sz w:val="32"/>
          <w:szCs w:val="32"/>
          <w:highlight w:val="none"/>
          <w:lang w:val="en-US" w:eastAsia="zh-CN"/>
        </w:rPr>
        <w:t>公司</w:t>
      </w:r>
      <w:r>
        <w:rPr>
          <w:rFonts w:hint="eastAsia" w:ascii="仿宋_GB2312" w:hAnsi="仿宋_GB2312" w:eastAsia="仿宋_GB2312" w:cs="仿宋_GB2312"/>
          <w:color w:val="auto"/>
          <w:sz w:val="32"/>
          <w:szCs w:val="32"/>
          <w:highlight w:val="none"/>
        </w:rPr>
        <w:t>上会议题审批单。就“三重一大”等重要议题应事前听取</w:t>
      </w:r>
      <w:r>
        <w:rPr>
          <w:rFonts w:hint="eastAsia" w:ascii="仿宋_GB2312" w:hAnsi="仿宋_GB2312" w:cs="仿宋_GB2312"/>
          <w:color w:val="auto"/>
          <w:sz w:val="32"/>
          <w:szCs w:val="32"/>
          <w:highlight w:val="none"/>
          <w:lang w:val="en-US" w:eastAsia="zh-CN"/>
        </w:rPr>
        <w:t>党支部</w:t>
      </w:r>
      <w:r>
        <w:rPr>
          <w:rFonts w:hint="eastAsia" w:ascii="仿宋_GB2312" w:hAnsi="仿宋_GB2312" w:eastAsia="仿宋_GB2312" w:cs="仿宋_GB2312"/>
          <w:color w:val="auto"/>
          <w:sz w:val="32"/>
          <w:szCs w:val="32"/>
          <w:highlight w:val="none"/>
        </w:rPr>
        <w:t>和经理层主要领导的意见。</w:t>
      </w:r>
    </w:p>
    <w:p w14:paraId="58DAEE4C">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黑体" w:cs="仿宋_GB2312"/>
          <w:b w:val="0"/>
          <w:color w:val="auto"/>
          <w:sz w:val="32"/>
          <w:szCs w:val="32"/>
          <w:highlight w:val="none"/>
          <w:lang w:eastAsia="zh-CN"/>
        </w:rPr>
        <w:t>第十一条</w:t>
      </w:r>
      <w:r>
        <w:rPr>
          <w:rFonts w:hint="eastAsia" w:ascii="仿宋_GB2312" w:hAnsi="仿宋_GB2312" w:eastAsia="仿宋_GB2312" w:cs="仿宋_GB2312"/>
          <w:color w:val="auto"/>
          <w:sz w:val="32"/>
          <w:szCs w:val="32"/>
          <w:highlight w:val="none"/>
        </w:rPr>
        <w:t xml:space="preserve">  董事会会议应当</w:t>
      </w:r>
      <w:r>
        <w:rPr>
          <w:rFonts w:hint="eastAsia" w:ascii="仿宋_GB2312" w:hAnsi="Times New Roman" w:eastAsia="仿宋_GB2312" w:cs="仿宋_GB2312"/>
          <w:kern w:val="2"/>
          <w:sz w:val="32"/>
          <w:szCs w:val="32"/>
          <w:lang w:val="en-US" w:eastAsia="zh-CN" w:bidi="ar"/>
        </w:rPr>
        <w:t>过半数董事且过半数外部董事</w:t>
      </w:r>
      <w:r>
        <w:rPr>
          <w:rFonts w:hint="eastAsia" w:ascii="仿宋_GB2312" w:hAnsi="仿宋_GB2312" w:eastAsia="仿宋_GB2312" w:cs="仿宋_GB2312"/>
          <w:color w:val="auto"/>
          <w:sz w:val="32"/>
          <w:szCs w:val="32"/>
          <w:highlight w:val="none"/>
        </w:rPr>
        <w:t>出席方可举行。</w:t>
      </w:r>
    </w:p>
    <w:p w14:paraId="0FE8A6A7">
      <w:pPr>
        <w:keepNext w:val="0"/>
        <w:keepLines w:val="0"/>
        <w:pageBreakBefore w:val="0"/>
        <w:widowControl w:val="0"/>
        <w:suppressLineNumbers w:val="0"/>
        <w:wordWrap/>
        <w:overflowPunct/>
        <w:topLinePunct w:val="0"/>
        <w:bidi w:val="0"/>
        <w:spacing w:before="0" w:beforeLines="0" w:beforeAutospacing="0" w:after="0" w:afterLines="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会议主持人认为有必要的，可以通知其他非董事有关人员列席董事会。</w:t>
      </w:r>
    </w:p>
    <w:p w14:paraId="37EBD743">
      <w:pPr>
        <w:keepNext w:val="0"/>
        <w:keepLines w:val="0"/>
        <w:pageBreakBefore w:val="0"/>
        <w:widowControl w:val="0"/>
        <w:suppressLineNumbers w:val="0"/>
        <w:wordWrap/>
        <w:overflowPunct/>
        <w:topLinePunct w:val="0"/>
        <w:bidi w:val="0"/>
        <w:spacing w:before="0" w:beforeLines="0" w:beforeAutospacing="0" w:after="0" w:afterLines="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cs="仿宋_GB2312"/>
          <w:kern w:val="2"/>
          <w:sz w:val="32"/>
          <w:szCs w:val="32"/>
          <w:lang w:val="en-US" w:eastAsia="zh-CN" w:bidi="ar"/>
        </w:rPr>
        <w:t>资产管理</w:t>
      </w:r>
      <w:r>
        <w:rPr>
          <w:rFonts w:hint="eastAsia" w:ascii="仿宋_GB2312" w:hAnsi="Times New Roman" w:eastAsia="仿宋_GB2312" w:cs="仿宋_GB2312"/>
          <w:kern w:val="2"/>
          <w:sz w:val="32"/>
          <w:szCs w:val="32"/>
          <w:lang w:val="en-US" w:eastAsia="zh-CN" w:bidi="ar"/>
        </w:rPr>
        <w:t>公司可以派人列席公司董事会和董事会专门委员会会议。</w:t>
      </w:r>
      <w:r>
        <w:rPr>
          <w:rFonts w:hint="eastAsia" w:ascii="仿宋_GB2312" w:cs="仿宋_GB2312"/>
          <w:kern w:val="2"/>
          <w:sz w:val="32"/>
          <w:szCs w:val="32"/>
          <w:lang w:val="en-US" w:eastAsia="zh-CN" w:bidi="ar"/>
        </w:rPr>
        <w:t>资产管理</w:t>
      </w:r>
      <w:r>
        <w:rPr>
          <w:rFonts w:hint="eastAsia" w:ascii="仿宋_GB2312" w:hAnsi="Times New Roman" w:eastAsia="仿宋_GB2312" w:cs="仿宋_GB2312"/>
          <w:kern w:val="2"/>
          <w:sz w:val="32"/>
          <w:szCs w:val="32"/>
          <w:lang w:val="en-US" w:eastAsia="zh-CN" w:bidi="ar"/>
        </w:rPr>
        <w:t>公司纪委书记可以列席董事会和董事会专门委员会会议。</w:t>
      </w:r>
    </w:p>
    <w:p w14:paraId="551C8177">
      <w:pPr>
        <w:keepNext w:val="0"/>
        <w:keepLines w:val="0"/>
        <w:pageBreakBefore w:val="0"/>
        <w:widowControl w:val="0"/>
        <w:suppressLineNumbers w:val="0"/>
        <w:wordWrap/>
        <w:overflowPunct/>
        <w:topLinePunct w:val="0"/>
        <w:bidi w:val="0"/>
        <w:spacing w:before="0" w:beforeLines="0" w:beforeAutospacing="0" w:after="0" w:afterLines="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董事会及其专门委员会召开会议，可以根据需要邀请公司高级管理人员、相关业务部门负责人</w:t>
      </w:r>
      <w:r>
        <w:rPr>
          <w:rFonts w:hint="eastAsia" w:ascii="仿宋_GB2312" w:cs="仿宋_GB2312"/>
          <w:kern w:val="2"/>
          <w:sz w:val="32"/>
          <w:szCs w:val="32"/>
          <w:lang w:val="en-US" w:eastAsia="zh-CN" w:bidi="ar"/>
        </w:rPr>
        <w:t>、</w:t>
      </w:r>
      <w:r>
        <w:rPr>
          <w:rFonts w:hint="eastAsia" w:ascii="仿宋_GB2312" w:hAnsi="Times New Roman" w:eastAsia="仿宋_GB2312" w:cs="仿宋_GB2312"/>
          <w:kern w:val="2"/>
          <w:sz w:val="32"/>
          <w:szCs w:val="32"/>
          <w:lang w:val="en-US" w:eastAsia="zh-CN" w:bidi="ar"/>
        </w:rPr>
        <w:t>和专家等有关人员列席，对涉及的议案进行解释、提供咨询或者发表意见、接受质询。董事会审议事项涉及法律合规问题的，法律顾问应当列席并提出法律合规意见。</w:t>
      </w:r>
    </w:p>
    <w:p w14:paraId="76B6C5F3">
      <w:pPr>
        <w:keepNext w:val="0"/>
        <w:keepLines w:val="0"/>
        <w:pageBreakBefore w:val="0"/>
        <w:widowControl w:val="0"/>
        <w:numPr>
          <w:ilvl w:val="-1"/>
          <w:numId w:val="0"/>
        </w:numPr>
        <w:suppressLineNumbers w:val="0"/>
        <w:wordWrap/>
        <w:overflowPunct/>
        <w:topLinePunct w:val="0"/>
        <w:bidi w:val="0"/>
        <w:spacing w:before="0" w:beforeLines="0" w:beforeAutospacing="0" w:after="0" w:afterLines="0" w:afterAutospacing="0" w:line="560" w:lineRule="exact"/>
        <w:ind w:left="640" w:leftChars="200" w:right="0" w:firstLine="0" w:firstLineChars="0"/>
        <w:jc w:val="both"/>
        <w:rPr>
          <w:rFonts w:hint="eastAsia" w:ascii="仿宋_GB2312" w:hAnsi="Times New Roman" w:eastAsia="仿宋_GB2312" w:cs="仿宋_GB2312"/>
          <w:kern w:val="2"/>
          <w:sz w:val="32"/>
          <w:szCs w:val="32"/>
          <w:lang w:val="en-US" w:eastAsia="zh-CN" w:bidi="ar"/>
        </w:rPr>
      </w:pPr>
      <w:r>
        <w:rPr>
          <w:rFonts w:hint="eastAsia" w:ascii="仿宋_GB2312" w:hAnsi="仿宋_GB2312" w:eastAsia="黑体" w:cs="仿宋_GB2312"/>
          <w:b w:val="0"/>
          <w:color w:val="auto"/>
          <w:sz w:val="32"/>
          <w:szCs w:val="32"/>
          <w:highlight w:val="none"/>
          <w:lang w:eastAsia="zh-CN"/>
        </w:rPr>
        <w:t>第十二条</w:t>
      </w:r>
      <w:r>
        <w:rPr>
          <w:rFonts w:hint="eastAsia" w:ascii="仿宋_GB2312" w:hAnsi="仿宋_GB2312" w:eastAsia="仿宋_GB2312" w:cs="仿宋_GB2312"/>
          <w:b/>
          <w:color w:val="auto"/>
          <w:sz w:val="32"/>
          <w:szCs w:val="32"/>
          <w:highlight w:val="none"/>
        </w:rPr>
        <w:t xml:space="preserve">  </w:t>
      </w:r>
      <w:r>
        <w:rPr>
          <w:rFonts w:hint="eastAsia" w:ascii="仿宋_GB2312" w:hAnsi="Times New Roman" w:eastAsia="仿宋_GB2312" w:cs="仿宋_GB2312"/>
          <w:b/>
          <w:bCs w:val="0"/>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董事会会议应当由董事本人出席。董事因</w:t>
      </w:r>
    </w:p>
    <w:p w14:paraId="4DF3C9F7">
      <w:pPr>
        <w:keepNext w:val="0"/>
        <w:keepLines w:val="0"/>
        <w:pageBreakBefore w:val="0"/>
        <w:widowControl w:val="0"/>
        <w:numPr>
          <w:ilvl w:val="-1"/>
          <w:numId w:val="0"/>
        </w:numPr>
        <w:suppressLineNumbers w:val="0"/>
        <w:wordWrap/>
        <w:overflowPunct/>
        <w:topLinePunct w:val="0"/>
        <w:bidi w:val="0"/>
        <w:spacing w:before="0" w:beforeLines="0" w:beforeAutospacing="0" w:after="0" w:afterLines="0" w:afterAutospacing="0" w:line="560" w:lineRule="exact"/>
        <w:ind w:left="0" w:leftChars="0" w:right="0" w:firstLine="0" w:firstLineChars="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故不能出席，可以书面委托其他董事代为出席并行使表决权，但外部董事一般不得委托非外部董事代为出席。一名董事原则上不得同时接受超过两名董事的委托。委托书中应当载明授权范围、代为表决的意见、授权的期限等。委托人应在会议召开前将委托书提交受托董事及董事会秘书。委托授权应当一会一授。</w:t>
      </w:r>
    </w:p>
    <w:p w14:paraId="0FB47378">
      <w:pPr>
        <w:keepNext w:val="0"/>
        <w:keepLines w:val="0"/>
        <w:pageBreakBefore w:val="0"/>
        <w:widowControl w:val="0"/>
        <w:suppressLineNumbers w:val="0"/>
        <w:wordWrap/>
        <w:overflowPunct/>
        <w:topLinePunct w:val="0"/>
        <w:bidi w:val="0"/>
        <w:spacing w:before="0" w:beforeLines="0" w:beforeAutospacing="0" w:after="0" w:afterLines="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董事未履行请假程序不出席会议，亦未委托其他董事代为表决的情况，以及董事在会议中途退场，且未就董事会未审议事项发表表决意见亦未委托其他董事代为表决的情况，均视为不履职行为。</w:t>
      </w:r>
    </w:p>
    <w:p w14:paraId="1C766959">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第十三条</w:t>
      </w:r>
      <w:r>
        <w:rPr>
          <w:rFonts w:hint="eastAsia" w:ascii="仿宋_GB2312" w:hAnsi="仿宋_GB2312" w:eastAsia="仿宋_GB2312" w:cs="仿宋_GB2312"/>
          <w:color w:val="auto"/>
          <w:sz w:val="32"/>
          <w:szCs w:val="32"/>
          <w:highlight w:val="none"/>
        </w:rPr>
        <w:t xml:space="preserve">  代为出席会议的董事应当在授权范围内行使董事的权利。董事未出席董事会会议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亦未委托代表出席的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视为放弃在该次会上的投票权。</w:t>
      </w:r>
    </w:p>
    <w:p w14:paraId="13074012">
      <w:pPr>
        <w:pageBreakBefore w:val="0"/>
        <w:wordWrap/>
        <w:overflowPunct/>
        <w:topLinePunct w:val="0"/>
        <w:bidi w:val="0"/>
        <w:spacing w:beforeAutospacing="0" w:afterAutospacing="0" w:line="560" w:lineRule="exact"/>
        <w:ind w:left="0" w:leftChars="0" w:right="0" w:rightChars="0" w:firstLine="0" w:firstLineChars="0"/>
        <w:jc w:val="center"/>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t>第四章  董事会议事程序及决议</w:t>
      </w:r>
    </w:p>
    <w:p w14:paraId="1120A840">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第十四条</w:t>
      </w:r>
      <w:r>
        <w:rPr>
          <w:rFonts w:hint="eastAsia" w:ascii="仿宋_GB2312" w:hAnsi="仿宋_GB2312" w:eastAsia="仿宋_GB2312" w:cs="仿宋_GB2312"/>
          <w:color w:val="auto"/>
          <w:sz w:val="32"/>
          <w:szCs w:val="32"/>
          <w:highlight w:val="none"/>
        </w:rPr>
        <w:t xml:space="preserve">  会议主持人应当提请出席董事会会议的董事对各项议题发表明确的意见。</w:t>
      </w:r>
    </w:p>
    <w:p w14:paraId="38E5BA52">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除征得全体与会董事一致同意外</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董事会会议不得就未包括在会议通知中的提案进行表决。董事接受其他董事委托代为出席董事会会议的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不得代表其他董事对未包括在会议通知中的议题进行表决。</w:t>
      </w:r>
    </w:p>
    <w:p w14:paraId="6861EEA9">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第十五条</w:t>
      </w:r>
      <w:r>
        <w:rPr>
          <w:rFonts w:hint="eastAsia" w:ascii="仿宋_GB2312" w:hAnsi="仿宋_GB2312" w:eastAsia="仿宋_GB2312" w:cs="仿宋_GB2312"/>
          <w:b/>
          <w:color w:val="auto"/>
          <w:sz w:val="32"/>
          <w:szCs w:val="32"/>
          <w:highlight w:val="none"/>
        </w:rPr>
        <w:t xml:space="preserve">  </w:t>
      </w:r>
      <w:r>
        <w:rPr>
          <w:rFonts w:hint="eastAsia" w:ascii="仿宋_GB2312" w:hAnsi="仿宋_GB2312" w:eastAsia="仿宋_GB2312" w:cs="仿宋_GB2312"/>
          <w:color w:val="auto"/>
          <w:sz w:val="32"/>
          <w:szCs w:val="32"/>
          <w:highlight w:val="none"/>
        </w:rPr>
        <w:t>董事应当认真阅读有关会议材料</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在充分了解情况的基础上独立</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审慎地发表意见。</w:t>
      </w:r>
    </w:p>
    <w:p w14:paraId="73E188C6">
      <w:pPr>
        <w:keepNext w:val="0"/>
        <w:keepLines w:val="0"/>
        <w:pageBreakBefore w:val="0"/>
        <w:widowControl w:val="0"/>
        <w:suppressLineNumbers w:val="0"/>
        <w:wordWrap/>
        <w:overflowPunct/>
        <w:topLinePunct w:val="0"/>
        <w:bidi w:val="0"/>
        <w:spacing w:before="0" w:beforeLines="0" w:beforeAutospacing="0" w:after="0" w:afterLines="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仿宋_GB2312" w:eastAsia="黑体" w:cs="仿宋_GB2312"/>
          <w:b w:val="0"/>
          <w:color w:val="auto"/>
          <w:sz w:val="32"/>
          <w:szCs w:val="32"/>
          <w:highlight w:val="none"/>
          <w:lang w:eastAsia="zh-CN"/>
        </w:rPr>
        <w:t>第十六条</w:t>
      </w:r>
      <w:r>
        <w:rPr>
          <w:rFonts w:hint="eastAsia" w:ascii="仿宋_GB2312" w:hAnsi="仿宋_GB2312" w:eastAsia="仿宋_GB2312" w:cs="仿宋_GB2312"/>
          <w:color w:val="auto"/>
          <w:sz w:val="32"/>
          <w:szCs w:val="32"/>
          <w:highlight w:val="none"/>
        </w:rPr>
        <w:t xml:space="preserve">  会议表决实行一人一票。</w:t>
      </w:r>
      <w:r>
        <w:rPr>
          <w:rFonts w:hint="eastAsia" w:ascii="仿宋_GB2312" w:hAnsi="Times New Roman" w:eastAsia="仿宋_GB2312" w:cs="仿宋_GB2312"/>
          <w:kern w:val="2"/>
          <w:sz w:val="32"/>
          <w:szCs w:val="32"/>
          <w:lang w:val="en-US" w:eastAsia="zh-CN" w:bidi="ar"/>
        </w:rPr>
        <w:t>董事会决议的表决，实行一人一票。董事会决议分为普通决议和特别决议。董事会通过普通决议时，应当经全体董事过半数同意；通过特别决议时，应当经全体董事三分之二以上同意。以下事项须经特别决议通过：</w:t>
      </w:r>
    </w:p>
    <w:p w14:paraId="246865E9">
      <w:pPr>
        <w:keepNext w:val="0"/>
        <w:keepLines w:val="0"/>
        <w:pageBreakBefore w:val="0"/>
        <w:widowControl w:val="0"/>
        <w:suppressLineNumbers w:val="0"/>
        <w:wordWrap/>
        <w:overflowPunct/>
        <w:topLinePunct w:val="0"/>
        <w:bidi w:val="0"/>
        <w:spacing w:before="0" w:beforeLines="0" w:beforeAutospacing="0" w:after="0" w:afterLines="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1、制订公司增加或者减少注册资本的方案；</w:t>
      </w:r>
    </w:p>
    <w:p w14:paraId="68B45819">
      <w:pPr>
        <w:keepNext w:val="0"/>
        <w:keepLines w:val="0"/>
        <w:pageBreakBefore w:val="0"/>
        <w:widowControl w:val="0"/>
        <w:suppressLineNumbers w:val="0"/>
        <w:wordWrap/>
        <w:overflowPunct/>
        <w:topLinePunct w:val="0"/>
        <w:bidi w:val="0"/>
        <w:spacing w:before="0" w:beforeLines="0" w:beforeAutospacing="0" w:after="0" w:afterLines="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2、制订公司合并、分立、改制、解散、清算、申请破产、变更公司形式的方案；</w:t>
      </w:r>
    </w:p>
    <w:p w14:paraId="2CC66AEA">
      <w:pPr>
        <w:keepNext w:val="0"/>
        <w:keepLines w:val="0"/>
        <w:pageBreakBefore w:val="0"/>
        <w:widowControl w:val="0"/>
        <w:suppressLineNumbers w:val="0"/>
        <w:wordWrap/>
        <w:overflowPunct/>
        <w:topLinePunct w:val="0"/>
        <w:bidi w:val="0"/>
        <w:spacing w:before="0" w:beforeLines="0" w:beforeAutospacing="0" w:after="0" w:afterLines="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3、制订公司章程草案和公司章程的修改方案；</w:t>
      </w:r>
    </w:p>
    <w:p w14:paraId="1B067318">
      <w:pPr>
        <w:keepNext w:val="0"/>
        <w:keepLines w:val="0"/>
        <w:pageBreakBefore w:val="0"/>
        <w:widowControl w:val="0"/>
        <w:suppressLineNumbers w:val="0"/>
        <w:wordWrap/>
        <w:overflowPunct/>
        <w:topLinePunct w:val="0"/>
        <w:bidi w:val="0"/>
        <w:spacing w:before="0" w:beforeLines="0" w:beforeAutospacing="0" w:after="0" w:afterLines="0" w:afterAutospacing="0" w:line="560" w:lineRule="exact"/>
        <w:ind w:left="0" w:right="0" w:firstLine="640" w:firstLineChars="200"/>
        <w:jc w:val="both"/>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4、制订非主业重大投资方案；</w:t>
      </w:r>
    </w:p>
    <w:p w14:paraId="70A6078B">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Times New Roman" w:eastAsia="仿宋_GB2312" w:cs="仿宋_GB2312"/>
          <w:kern w:val="2"/>
          <w:sz w:val="32"/>
          <w:szCs w:val="32"/>
          <w:lang w:val="en-US" w:eastAsia="zh-CN" w:bidi="ar"/>
        </w:rPr>
      </w:pPr>
      <w:r>
        <w:rPr>
          <w:rFonts w:hint="eastAsia" w:ascii="仿宋_GB2312" w:hAnsi="Times New Roman" w:eastAsia="仿宋_GB2312" w:cs="仿宋_GB2312"/>
          <w:kern w:val="2"/>
          <w:sz w:val="32"/>
          <w:szCs w:val="32"/>
          <w:lang w:val="en-US" w:eastAsia="zh-CN" w:bidi="ar"/>
        </w:rPr>
        <w:t>5、法律、法规或股东规定的应当以特别决议通过的事项。</w:t>
      </w:r>
    </w:p>
    <w:p w14:paraId="52DF909C">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第十七条</w:t>
      </w:r>
      <w:r>
        <w:rPr>
          <w:rFonts w:hint="eastAsia" w:ascii="仿宋_GB2312" w:hAnsi="仿宋_GB2312" w:eastAsia="仿宋_GB2312" w:cs="仿宋_GB2312"/>
          <w:color w:val="auto"/>
          <w:sz w:val="32"/>
          <w:szCs w:val="32"/>
          <w:highlight w:val="none"/>
        </w:rPr>
        <w:t xml:space="preserve">  二分之一以上的与会董事认为提案不明确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不具体</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或者因会议材料不充分等其他事由导致其无法对有关事项作出判断时</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会议主持人应当要求会议对该议题进行暂缓表决。提议暂缓表决的董事应当对议题再次提交审议应满足的条件提出明确要求。</w:t>
      </w:r>
    </w:p>
    <w:p w14:paraId="3A5F0080">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第十八条</w:t>
      </w:r>
      <w:r>
        <w:rPr>
          <w:rFonts w:hint="eastAsia" w:ascii="仿宋_GB2312" w:hAnsi="仿宋_GB2312" w:eastAsia="仿宋_GB2312" w:cs="仿宋_GB2312"/>
          <w:color w:val="auto"/>
          <w:sz w:val="32"/>
          <w:szCs w:val="32"/>
          <w:highlight w:val="none"/>
        </w:rPr>
        <w:t xml:space="preserve">  董事会会议应由</w:t>
      </w:r>
      <w:r>
        <w:rPr>
          <w:rFonts w:hint="eastAsia" w:ascii="仿宋_GB2312" w:hAnsi="仿宋_GB2312" w:cs="仿宋_GB2312"/>
          <w:color w:val="auto"/>
          <w:sz w:val="32"/>
          <w:szCs w:val="32"/>
          <w:highlight w:val="none"/>
          <w:lang w:val="en-US" w:eastAsia="zh-CN"/>
        </w:rPr>
        <w:t>综合服务部</w:t>
      </w:r>
      <w:r>
        <w:rPr>
          <w:rFonts w:hint="eastAsia" w:ascii="仿宋_GB2312" w:hAnsi="仿宋_GB2312" w:eastAsia="仿宋_GB2312" w:cs="仿宋_GB2312"/>
          <w:color w:val="auto"/>
          <w:sz w:val="32"/>
          <w:szCs w:val="32"/>
          <w:highlight w:val="none"/>
        </w:rPr>
        <w:t>作会议记录</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并根据需要对会议召开情况形成会议决议。出席会议的董事有权要求在记录上对其在会议上的发言作出说明性记载。</w:t>
      </w:r>
    </w:p>
    <w:p w14:paraId="7848ACD2">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第十九条</w:t>
      </w:r>
      <w:r>
        <w:rPr>
          <w:rFonts w:hint="eastAsia" w:ascii="仿宋_GB2312" w:hAnsi="仿宋_GB2312" w:eastAsia="仿宋_GB2312" w:cs="仿宋_GB2312"/>
          <w:color w:val="auto"/>
          <w:sz w:val="32"/>
          <w:szCs w:val="32"/>
          <w:highlight w:val="none"/>
        </w:rPr>
        <w:t xml:space="preserve">  董事会会议记录包括以下内容：</w:t>
      </w:r>
    </w:p>
    <w:p w14:paraId="437F60FE">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（一）会议召开的日期</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地点和主持人姓名；</w:t>
      </w:r>
    </w:p>
    <w:p w14:paraId="4EB93698">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（二）出席董事的姓名以及受他人委托出席董事会的董事（代理人）姓名；</w:t>
      </w:r>
    </w:p>
    <w:p w14:paraId="6994B830">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（三）会议议程；</w:t>
      </w:r>
    </w:p>
    <w:p w14:paraId="1D425C88">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（四）董事发言要点；</w:t>
      </w:r>
    </w:p>
    <w:p w14:paraId="649B71EE">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（五）每一决议事项的表决方式和结果；</w:t>
      </w:r>
    </w:p>
    <w:p w14:paraId="0D87B54F">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 xml:space="preserve">   （六）与会董事认为应当载明的其他事项。</w:t>
      </w:r>
    </w:p>
    <w:p w14:paraId="50E9AE35">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第二十条</w:t>
      </w:r>
      <w:r>
        <w:rPr>
          <w:rFonts w:hint="eastAsia" w:ascii="仿宋_GB2312" w:hAnsi="仿宋_GB2312" w:eastAsia="仿宋_GB2312" w:cs="仿宋_GB2312"/>
          <w:color w:val="auto"/>
          <w:sz w:val="32"/>
          <w:szCs w:val="32"/>
          <w:highlight w:val="none"/>
        </w:rPr>
        <w:t xml:space="preserve">  </w:t>
      </w:r>
      <w:r>
        <w:rPr>
          <w:rFonts w:hint="eastAsia" w:ascii="仿宋_GB2312" w:hAnsi="仿宋_GB2312" w:cs="仿宋_GB2312"/>
          <w:color w:val="auto"/>
          <w:sz w:val="32"/>
          <w:szCs w:val="32"/>
          <w:highlight w:val="none"/>
          <w:lang w:val="en-US" w:eastAsia="zh-CN"/>
        </w:rPr>
        <w:t>综合服务部</w:t>
      </w:r>
      <w:r>
        <w:rPr>
          <w:rFonts w:hint="eastAsia" w:ascii="仿宋_GB2312" w:hAnsi="仿宋_GB2312" w:eastAsia="仿宋_GB2312" w:cs="仿宋_GB2312"/>
          <w:color w:val="auto"/>
          <w:sz w:val="32"/>
          <w:szCs w:val="32"/>
          <w:highlight w:val="none"/>
        </w:rPr>
        <w:t>对会议决定的事项作成董事会决议。与会董事应当代表本人和委托其代为出席会议的董事对会议决议进行签字确认。对会议决议有不同意见的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可以在签字时作出书面说明。</w:t>
      </w:r>
    </w:p>
    <w:p w14:paraId="61ED3939">
      <w:pPr>
        <w:pStyle w:val="2"/>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第二十一条</w:t>
      </w:r>
      <w:r>
        <w:rPr>
          <w:rFonts w:hint="eastAsia" w:ascii="仿宋_GB2312" w:hAnsi="仿宋_GB2312" w:eastAsia="仿宋_GB2312" w:cs="仿宋_GB2312"/>
          <w:color w:val="auto"/>
          <w:sz w:val="32"/>
          <w:szCs w:val="32"/>
          <w:highlight w:val="none"/>
        </w:rPr>
        <w:t xml:space="preserve">  董事会决议可以采用现场会议表决和书面传签表决两种方式作出。</w:t>
      </w:r>
    </w:p>
    <w:p w14:paraId="0C562F2C">
      <w:pPr>
        <w:pStyle w:val="3"/>
        <w:pageBreakBefore w:val="0"/>
        <w:wordWrap/>
        <w:overflowPunct/>
        <w:topLinePunct w:val="0"/>
        <w:bidi w:val="0"/>
        <w:spacing w:beforeAutospacing="0" w:after="0" w:afterAutospacing="0" w:line="560" w:lineRule="exact"/>
        <w:ind w:left="0" w:leftChars="0" w:right="0" w:rightChars="0"/>
        <w:rPr>
          <w:rFonts w:hint="default"/>
          <w:color w:val="auto"/>
          <w:sz w:val="32"/>
          <w:szCs w:val="32"/>
          <w:highlight w:val="none"/>
        </w:rPr>
      </w:pPr>
      <w:r>
        <w:rPr>
          <w:rFonts w:hint="eastAsia" w:ascii="仿宋_GB2312" w:hAnsi="仿宋_GB2312" w:eastAsia="仿宋_GB2312" w:cs="仿宋_GB2312"/>
          <w:color w:val="auto"/>
          <w:sz w:val="32"/>
          <w:szCs w:val="32"/>
          <w:highlight w:val="none"/>
        </w:rPr>
        <w:t xml:space="preserve">    “现场会议”</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是指通过现场</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视频</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电话等能保证参会人员即时交流讨论方式召开的会议；“书面传签”</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是指通过分别送达审议或传阅送达审议方式对议案作出决议的会议方式。</w:t>
      </w:r>
    </w:p>
    <w:p w14:paraId="57D9C50F">
      <w:pPr>
        <w:pageBreakBefore w:val="0"/>
        <w:wordWrap/>
        <w:overflowPunct/>
        <w:topLinePunct w:val="0"/>
        <w:bidi w:val="0"/>
        <w:spacing w:beforeAutospacing="0" w:afterAutospacing="0" w:line="560" w:lineRule="exact"/>
        <w:ind w:left="0" w:leftChars="0" w:right="0" w:rightChars="0" w:firstLine="0" w:firstLineChars="0"/>
        <w:jc w:val="center"/>
        <w:rPr>
          <w:rFonts w:hint="eastAsia" w:ascii="黑体" w:hAnsi="黑体" w:eastAsia="黑体" w:cs="黑体"/>
          <w:color w:val="auto"/>
          <w:sz w:val="32"/>
          <w:szCs w:val="32"/>
          <w:highlight w:val="none"/>
          <w:lang w:eastAsia="zh-CN"/>
        </w:rPr>
      </w:pPr>
      <w:r>
        <w:rPr>
          <w:rFonts w:hint="eastAsia" w:ascii="黑体" w:hAnsi="黑体" w:eastAsia="黑体" w:cs="黑体"/>
          <w:color w:val="auto"/>
          <w:sz w:val="32"/>
          <w:szCs w:val="32"/>
          <w:highlight w:val="none"/>
        </w:rPr>
        <w:t xml:space="preserve">第五章  </w:t>
      </w:r>
      <w:r>
        <w:rPr>
          <w:rFonts w:hint="eastAsia" w:ascii="黑体" w:hAnsi="黑体" w:eastAsia="黑体" w:cs="黑体"/>
          <w:color w:val="auto"/>
          <w:sz w:val="32"/>
          <w:szCs w:val="32"/>
          <w:highlight w:val="none"/>
          <w:lang w:eastAsia="zh-CN"/>
        </w:rPr>
        <w:t>附 则</w:t>
      </w:r>
    </w:p>
    <w:p w14:paraId="3B1EC7A6">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eastAsia="黑体"/>
          <w:b w:val="0"/>
          <w:bCs/>
          <w:color w:val="auto"/>
          <w:sz w:val="32"/>
          <w:szCs w:val="32"/>
          <w:highlight w:val="none"/>
          <w:lang w:eastAsia="zh-CN"/>
        </w:rPr>
        <w:t>第二十</w:t>
      </w:r>
      <w:r>
        <w:rPr>
          <w:rFonts w:hint="eastAsia" w:ascii="仿宋_GB2312" w:eastAsia="黑体"/>
          <w:b w:val="0"/>
          <w:bCs/>
          <w:color w:val="auto"/>
          <w:sz w:val="32"/>
          <w:szCs w:val="32"/>
          <w:highlight w:val="none"/>
          <w:lang w:val="en-US" w:eastAsia="zh-CN"/>
        </w:rPr>
        <w:t>二</w:t>
      </w:r>
      <w:r>
        <w:rPr>
          <w:rFonts w:hint="eastAsia" w:ascii="仿宋_GB2312" w:eastAsia="黑体"/>
          <w:b w:val="0"/>
          <w:bCs/>
          <w:color w:val="auto"/>
          <w:sz w:val="32"/>
          <w:szCs w:val="32"/>
          <w:highlight w:val="none"/>
          <w:lang w:eastAsia="zh-CN"/>
        </w:rPr>
        <w:t>条</w:t>
      </w:r>
      <w:r>
        <w:rPr>
          <w:rFonts w:hint="eastAsia" w:ascii="仿宋_GB2312" w:eastAsia="仿宋_GB2312"/>
          <w:color w:val="auto"/>
          <w:sz w:val="32"/>
          <w:szCs w:val="32"/>
          <w:highlight w:val="none"/>
        </w:rPr>
        <w:t xml:space="preserve">  </w:t>
      </w:r>
      <w:r>
        <w:rPr>
          <w:rFonts w:hint="eastAsia" w:ascii="仿宋_GB2312" w:hAnsi="仿宋_GB2312" w:eastAsia="仿宋_GB2312" w:cs="仿宋_GB2312"/>
          <w:color w:val="auto"/>
          <w:sz w:val="32"/>
          <w:szCs w:val="32"/>
          <w:highlight w:val="none"/>
        </w:rPr>
        <w:t>本规则未尽事宜或与本规则生效后颁布</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修改的法律</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法规或《章程》的规定相冲突的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按照法律</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法规</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《章程》的规定执行。</w:t>
      </w:r>
    </w:p>
    <w:p w14:paraId="1034963A">
      <w:pPr>
        <w:pageBreakBefore w:val="0"/>
        <w:wordWrap/>
        <w:overflowPunct/>
        <w:topLinePunct w:val="0"/>
        <w:bidi w:val="0"/>
        <w:spacing w:beforeAutospacing="0" w:afterAutospacing="0" w:line="560" w:lineRule="exact"/>
        <w:ind w:left="0" w:leftChars="0" w:right="0" w:rightChars="0" w:firstLine="640" w:firstLineChars="200"/>
        <w:rPr>
          <w:rFonts w:hint="default" w:ascii="仿宋_GB2312" w:hAnsi="仿宋_GB2312" w:eastAsia="仿宋_GB2312" w:cs="仿宋_GB2312"/>
          <w:color w:val="auto"/>
          <w:sz w:val="36"/>
          <w:szCs w:val="36"/>
          <w:highlight w:val="none"/>
          <w:lang w:val="en-US" w:eastAsia="zh-CN"/>
        </w:rPr>
      </w:pPr>
      <w:r>
        <w:rPr>
          <w:rFonts w:hint="eastAsia" w:ascii="仿宋_GB2312" w:hAnsi="仿宋_GB2312" w:eastAsia="黑体" w:cs="仿宋_GB2312"/>
          <w:b w:val="0"/>
          <w:color w:val="auto"/>
          <w:sz w:val="32"/>
          <w:szCs w:val="32"/>
          <w:highlight w:val="none"/>
          <w:lang w:eastAsia="zh-CN"/>
        </w:rPr>
        <w:t>第二十</w:t>
      </w:r>
      <w:r>
        <w:rPr>
          <w:rFonts w:hint="eastAsia" w:ascii="仿宋_GB2312" w:hAnsi="仿宋_GB2312" w:eastAsia="黑体" w:cs="仿宋_GB2312"/>
          <w:b w:val="0"/>
          <w:color w:val="auto"/>
          <w:sz w:val="32"/>
          <w:szCs w:val="32"/>
          <w:highlight w:val="none"/>
          <w:lang w:val="en-US" w:eastAsia="zh-CN"/>
        </w:rPr>
        <w:t>三</w:t>
      </w:r>
      <w:r>
        <w:rPr>
          <w:rFonts w:hint="eastAsia" w:ascii="仿宋_GB2312" w:hAnsi="仿宋_GB2312" w:eastAsia="黑体" w:cs="仿宋_GB2312"/>
          <w:b w:val="0"/>
          <w:color w:val="auto"/>
          <w:sz w:val="32"/>
          <w:szCs w:val="32"/>
          <w:highlight w:val="none"/>
          <w:lang w:eastAsia="zh-CN"/>
        </w:rPr>
        <w:t>条</w:t>
      </w:r>
      <w:r>
        <w:rPr>
          <w:rFonts w:hint="eastAsia" w:ascii="仿宋_GB2312" w:hAnsi="仿宋_GB2312" w:eastAsia="仿宋_GB2312" w:cs="仿宋_GB2312"/>
          <w:color w:val="auto"/>
          <w:sz w:val="36"/>
          <w:szCs w:val="36"/>
          <w:highlight w:val="none"/>
        </w:rPr>
        <w:t xml:space="preserve">  </w:t>
      </w:r>
      <w:r>
        <w:rPr>
          <w:rFonts w:hint="eastAsia" w:ascii="仿宋_GB2312" w:hAnsi="仿宋_GB2312" w:eastAsia="仿宋_GB2312" w:cs="仿宋_GB2312"/>
          <w:color w:val="auto"/>
          <w:sz w:val="32"/>
          <w:szCs w:val="32"/>
          <w:highlight w:val="none"/>
        </w:rPr>
        <w:t>本规则经公司董事会讨论通过</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自印发之日起施行。</w:t>
      </w:r>
      <w:r>
        <w:rPr>
          <w:rFonts w:hint="eastAsia" w:ascii="仿宋_GB2312" w:hAnsi="仿宋_GB2312" w:cs="仿宋_GB2312"/>
          <w:color w:val="auto"/>
          <w:sz w:val="32"/>
          <w:szCs w:val="32"/>
          <w:highlight w:val="none"/>
          <w:lang w:val="en-US" w:eastAsia="zh-CN"/>
        </w:rPr>
        <w:t>原规则同步废止。</w:t>
      </w:r>
    </w:p>
    <w:p w14:paraId="76E8A195">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color w:val="auto"/>
          <w:sz w:val="32"/>
          <w:szCs w:val="32"/>
          <w:highlight w:val="none"/>
          <w:lang w:eastAsia="zh-CN"/>
        </w:rPr>
        <w:t>第二十</w:t>
      </w:r>
      <w:r>
        <w:rPr>
          <w:rFonts w:hint="eastAsia" w:ascii="仿宋_GB2312" w:hAnsi="仿宋_GB2312" w:eastAsia="黑体" w:cs="仿宋_GB2312"/>
          <w:b w:val="0"/>
          <w:color w:val="auto"/>
          <w:sz w:val="32"/>
          <w:szCs w:val="32"/>
          <w:highlight w:val="none"/>
          <w:lang w:val="en-US" w:eastAsia="zh-CN"/>
        </w:rPr>
        <w:t>四</w:t>
      </w:r>
      <w:r>
        <w:rPr>
          <w:rFonts w:hint="eastAsia" w:ascii="仿宋_GB2312" w:hAnsi="仿宋_GB2312" w:eastAsia="黑体" w:cs="仿宋_GB2312"/>
          <w:b w:val="0"/>
          <w:color w:val="auto"/>
          <w:sz w:val="32"/>
          <w:szCs w:val="32"/>
          <w:highlight w:val="none"/>
          <w:lang w:eastAsia="zh-CN"/>
        </w:rPr>
        <w:t>条</w:t>
      </w:r>
      <w:r>
        <w:rPr>
          <w:rFonts w:hint="eastAsia" w:ascii="仿宋_GB2312" w:hAnsi="仿宋_GB2312" w:eastAsia="仿宋_GB2312" w:cs="仿宋_GB2312"/>
          <w:color w:val="auto"/>
          <w:sz w:val="32"/>
          <w:szCs w:val="32"/>
          <w:highlight w:val="none"/>
        </w:rPr>
        <w:t xml:space="preserve">  本规则由公司董事会负责解释及修订。</w:t>
      </w:r>
    </w:p>
    <w:p w14:paraId="5932510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书宋简体">
    <w:altName w:val="宋体"/>
    <w:panose1 w:val="02000000000000000000"/>
    <w:charset w:val="86"/>
    <w:family w:val="script"/>
    <w:pitch w:val="default"/>
    <w:sig w:usb0="00000000" w:usb1="00000000" w:usb2="00000012" w:usb3="00000000" w:csb0="00040001" w:csb1="00000000"/>
  </w:font>
  <w:font w:name="小标宋">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xZjUyZDlmNWE3ZTZmYjQ4ZmY5YWE2YTIzYjY1ZGQifQ=="/>
  </w:docVars>
  <w:rsids>
    <w:rsidRoot w:val="00000000"/>
    <w:rsid w:val="08F52229"/>
    <w:rsid w:val="133C5E8D"/>
    <w:rsid w:val="18D35EBC"/>
    <w:rsid w:val="1B204F75"/>
    <w:rsid w:val="20E26732"/>
    <w:rsid w:val="31910BEE"/>
    <w:rsid w:val="323D579C"/>
    <w:rsid w:val="33356B95"/>
    <w:rsid w:val="36A46215"/>
    <w:rsid w:val="3D716A94"/>
    <w:rsid w:val="46A240EA"/>
    <w:rsid w:val="521D7EA0"/>
    <w:rsid w:val="5727182F"/>
    <w:rsid w:val="5C2B7B9B"/>
    <w:rsid w:val="60D2092E"/>
    <w:rsid w:val="63721DF1"/>
    <w:rsid w:val="662719FF"/>
    <w:rsid w:val="722E70A1"/>
    <w:rsid w:val="7769025E"/>
    <w:rsid w:val="79E21DD1"/>
    <w:rsid w:val="7FC70C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iPriority="99"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4">
    <w:name w:val="heading 2"/>
    <w:basedOn w:val="1"/>
    <w:next w:val="1"/>
    <w:qFormat/>
    <w:uiPriority w:val="0"/>
    <w:pPr>
      <w:keepNext/>
      <w:keepLines/>
      <w:spacing w:before="260" w:after="260" w:line="413" w:lineRule="auto"/>
      <w:jc w:val="center"/>
      <w:outlineLvl w:val="1"/>
    </w:pPr>
    <w:rPr>
      <w:rFonts w:ascii="Times New Roman" w:hAnsi="Times New Roman" w:eastAsia="方正书宋简体"/>
      <w:kern w:val="0"/>
      <w:sz w:val="44"/>
      <w:szCs w:val="20"/>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Normal Indent"/>
    <w:basedOn w:val="1"/>
    <w:next w:val="3"/>
    <w:qFormat/>
    <w:uiPriority w:val="99"/>
    <w:pPr>
      <w:adjustRightInd w:val="0"/>
      <w:spacing w:line="360" w:lineRule="atLeast"/>
      <w:ind w:firstLine="482"/>
      <w:textAlignment w:val="baseline"/>
    </w:pPr>
    <w:rPr>
      <w:rFonts w:ascii="Times New Roman" w:hAnsi="Times New Roman"/>
      <w:kern w:val="0"/>
      <w:sz w:val="24"/>
      <w:szCs w:val="20"/>
    </w:rPr>
  </w:style>
  <w:style w:type="paragraph" w:styleId="3">
    <w:name w:val="Body Text"/>
    <w:basedOn w:val="1"/>
    <w:next w:val="1"/>
    <w:unhideWhenUsed/>
    <w:qFormat/>
    <w:uiPriority w:val="99"/>
    <w:pPr>
      <w:widowControl/>
      <w:spacing w:after="120"/>
      <w:jc w:val="left"/>
    </w:pPr>
    <w:rPr>
      <w:kern w:val="0"/>
      <w:sz w:val="20"/>
      <w:szCs w:val="20"/>
    </w:rPr>
  </w:style>
  <w:style w:type="paragraph" w:styleId="5">
    <w:name w:val="toa heading"/>
    <w:basedOn w:val="1"/>
    <w:next w:val="1"/>
    <w:unhideWhenUsed/>
    <w:qFormat/>
    <w:uiPriority w:val="99"/>
    <w:pPr>
      <w:spacing w:before="120"/>
    </w:pPr>
    <w:rPr>
      <w:rFonts w:ascii="Arial" w:hAnsi="Arial"/>
      <w:sz w:val="24"/>
    </w:rPr>
  </w:style>
  <w:style w:type="paragraph" w:styleId="6">
    <w:name w:val="annotation text"/>
    <w:basedOn w:val="1"/>
    <w:qFormat/>
    <w:uiPriority w:val="0"/>
    <w:pPr>
      <w:jc w:val="left"/>
    </w:pPr>
  </w:style>
  <w:style w:type="paragraph" w:customStyle="1" w:styleId="9">
    <w:name w:val="_Style 2"/>
    <w:basedOn w:val="1"/>
    <w:autoRedefine/>
    <w:qFormat/>
    <w:uiPriority w:val="0"/>
    <w:pPr>
      <w:ind w:firstLine="200" w:firstLineChars="200"/>
    </w:pPr>
    <w:rPr>
      <w:sz w:val="2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4056</Words>
  <Characters>4057</Characters>
  <Lines>0</Lines>
  <Paragraphs>0</Paragraphs>
  <TotalTime>15</TotalTime>
  <ScaleCrop>false</ScaleCrop>
  <LinksUpToDate>false</LinksUpToDate>
  <CharactersWithSpaces>4162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2023-08-21T06:05:00Z</dcterms:created>
  <dc:creator>Administrator</dc:creator>
  <cp:lastModifiedBy>沈涌</cp:lastModifiedBy>
  <dcterms:modified xsi:type="dcterms:W3CDTF">2026-07-13T07:42:34Z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8F4856CDD09E4AC6939EE70410CA6F60_13</vt:lpwstr>
  </property>
  <property fmtid="{D5CDD505-2E9C-101B-9397-08002B2CF9AE}" pid="4" name="KSOTemplateDocerSaveRecord">
    <vt:lpwstr>eyJoZGlkIjoiYWYxZjUyZDlmNWE3ZTZmYjQ4ZmY5YWE2YTIzYjY1ZGQiLCJ1c2VySWQiOiIxMTU5OTEwNDAwIn0=</vt:lpwstr>
  </property>
</Properties>
</file>