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C925C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1320" w:firstLineChars="300"/>
        <w:jc w:val="center"/>
        <w:rPr>
          <w:rFonts w:hint="eastAsia" w:ascii="小标宋" w:hAnsi="小标宋" w:eastAsia="小标宋" w:cs="小标宋"/>
          <w:b w:val="0"/>
          <w:bCs/>
          <w:color w:val="auto"/>
          <w:sz w:val="44"/>
          <w:szCs w:val="44"/>
          <w:highlight w:val="none"/>
        </w:rPr>
      </w:pPr>
      <w:r>
        <w:rPr>
          <w:rFonts w:hint="eastAsia" w:ascii="小标宋" w:hAnsi="小标宋" w:eastAsia="小标宋" w:cs="小标宋"/>
          <w:b w:val="0"/>
          <w:bCs/>
          <w:color w:val="auto"/>
          <w:sz w:val="44"/>
          <w:szCs w:val="44"/>
          <w:highlight w:val="none"/>
        </w:rPr>
        <w:t>总经理办公会议事规则</w:t>
      </w:r>
      <w:r>
        <w:rPr>
          <w:rFonts w:hint="eastAsia" w:ascii="小标宋" w:hAnsi="小标宋" w:eastAsia="小标宋" w:cs="小标宋"/>
          <w:color w:val="auto"/>
          <w:kern w:val="0"/>
          <w:sz w:val="44"/>
          <w:szCs w:val="44"/>
          <w:highlight w:val="none"/>
          <w:lang w:eastAsia="zh-CN"/>
        </w:rPr>
        <w:t>（试行）</w:t>
      </w:r>
    </w:p>
    <w:p w14:paraId="3E58F65B">
      <w:pPr>
        <w:pageBreakBefore w:val="0"/>
        <w:numPr>
          <w:ilvl w:val="-1"/>
          <w:numId w:val="0"/>
        </w:numPr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</w:pPr>
    </w:p>
    <w:p w14:paraId="352894D2">
      <w:pPr>
        <w:pageBreakBefore w:val="0"/>
        <w:numPr>
          <w:ilvl w:val="-1"/>
          <w:numId w:val="0"/>
        </w:numPr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一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为提高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杭州交投智慧交通产业发展有限公司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（以下简称“公司”）经理层工作效率和科学管理水平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根据《中华人民共和国公司法》和《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杭州交投智慧交通产业发展有限公司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章程》（以下简称“章程”）及其他有关规定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结合实际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特制订本规则。</w:t>
      </w:r>
    </w:p>
    <w:p w14:paraId="46890105">
      <w:pPr>
        <w:pageBreakBefore w:val="0"/>
        <w:numPr>
          <w:ilvl w:val="0"/>
          <w:numId w:val="0"/>
        </w:numPr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 总经理办公会是总经理行使职权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审议公司经营管理中的重大事项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充分发挥经理层集体智慧的议事制度。</w:t>
      </w:r>
    </w:p>
    <w:p w14:paraId="24EB0F33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第三条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 审议研究公司重大问题时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应事先听取公司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党组织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的意见。</w:t>
      </w:r>
    </w:p>
    <w:p w14:paraId="355DEBF4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strike w:val="0"/>
          <w:dstrike w:val="0"/>
          <w:color w:val="auto"/>
          <w:sz w:val="32"/>
          <w:szCs w:val="32"/>
          <w:highlight w:val="none"/>
          <w:lang w:eastAsia="zh-CN"/>
        </w:rPr>
        <w:t>第四条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 xml:space="preserve">  审议有关职工工资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福利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安全生产以及劳动保护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劳动保险等涉及职工切身利益的议题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应事先听取公司工会的意见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视必要邀请职工代表列席会议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研究决定生产经营中的重大问题和制定重要规章制度时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应当听取公司工会的意见和建议。</w:t>
      </w:r>
    </w:p>
    <w:p w14:paraId="32F4E520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第五条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 总经理办公会议事范围：</w:t>
      </w:r>
    </w:p>
    <w:p w14:paraId="163FCA66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（一）研究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党组织会议、董事会决议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的具体实施措施和方法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；</w:t>
      </w:r>
    </w:p>
    <w:p w14:paraId="5C61E156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（二）拟订公司的发展战略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经营方针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年度经营计划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投资计划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融资计划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组织编制年度财务预算报告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决算报告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利润分配方案和弥补亏损方案；拟订公司重大财产处置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融资计划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资金出借</w:t>
      </w:r>
      <w:r>
        <w:rPr>
          <w:rFonts w:hint="eastAsia" w:ascii="仿宋_GB2312" w:hAnsi="仿宋_GB2312" w:cs="仿宋_GB2312"/>
          <w:strike w:val="0"/>
          <w:dstrike w:val="0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</w:rPr>
        <w:t>对外担保等方案；</w:t>
      </w:r>
    </w:p>
    <w:p w14:paraId="4DF185DE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（三）拟订《总经理办公会议事规则》；拟订公司内部管理机构设置方案；拟订公司的基本管理制度；制定公司除应由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董事会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审议决定的基本管理制度以外的具体规章；</w:t>
      </w:r>
    </w:p>
    <w:p w14:paraId="3E9F6CF2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（四）拟订公司员工考核及工资分配方案；拟订公司企业年金方案；</w:t>
      </w:r>
    </w:p>
    <w:p w14:paraId="6D463F6E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）决定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董事会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授权范围内的贷款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担保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财务支出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固定资产购置和处置等事项；</w:t>
      </w:r>
    </w:p>
    <w:p w14:paraId="78F95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ascii="仿宋_GB2312" w:hAns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（六）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决定重大突发事件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维护稳定等涉及公司政治责任和社会责任方面采取的重要措施；</w:t>
      </w:r>
    </w:p>
    <w:p w14:paraId="78C33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七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按照干部管理权限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研究决定公司中层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及以下经营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管理人员（包括</w:t>
      </w:r>
      <w:r>
        <w:rPr>
          <w:rFonts w:ascii="仿宋_GB2312" w:hAnsi="仿宋_GB2312" w:eastAsia="仿宋_GB2312"/>
          <w:color w:val="auto"/>
          <w:sz w:val="32"/>
          <w:szCs w:val="32"/>
          <w:highlight w:val="none"/>
        </w:rPr>
        <w:t>重大项目负责人和重要管理岗位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人员）以及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所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属企业领导班子成员的任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免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聘用或解聘。</w:t>
      </w:r>
    </w:p>
    <w:p w14:paraId="009CF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八）公司后备干部的选拔、培养等管理事项；</w:t>
      </w:r>
    </w:p>
    <w:p w14:paraId="61199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ascii="仿宋_GB2312" w:hAns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（九）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公司人才队伍建设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规划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经营管理人员、专业技术人员、高技能人员；</w:t>
      </w:r>
    </w:p>
    <w:p w14:paraId="68F65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（十）先进集体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个人的表彰奖励；</w:t>
      </w:r>
    </w:p>
    <w:p w14:paraId="108AD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（十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一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涉及公司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  <w:t>主业及相关产业发展、重大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项目建设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对外投资等生产经营事项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落实中央宏观调控政策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服务杭州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  <w:t>及集团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发展大局的具体工作举措；</w:t>
      </w:r>
    </w:p>
    <w:p w14:paraId="25F0A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（十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公司各产业板块发展战略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发展规划的制定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修订；</w:t>
      </w:r>
    </w:p>
    <w:p w14:paraId="2F91F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（十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三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公司生产经营方针策略的制定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修订；</w:t>
      </w:r>
    </w:p>
    <w:p w14:paraId="53842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（十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四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公司及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  <w:t>所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属企业国有产权和资产公开转让；公司及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  <w:t>所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属企业之间国有产权和资产非公开协议转让；公司重大资产（主要指房产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土地使用权等）转让；</w:t>
      </w:r>
    </w:p>
    <w:p w14:paraId="518EA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（十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）公司及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所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属企业国有资产划转；</w:t>
      </w:r>
    </w:p>
    <w:p w14:paraId="75966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（十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六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  <w:t>本级负责管理的实物类资产租赁；</w:t>
      </w:r>
    </w:p>
    <w:p w14:paraId="41537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（十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七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公司投资新设企业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对外投资和非主业投资；</w:t>
      </w:r>
    </w:p>
    <w:p w14:paraId="4A86E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十八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公司贷款等融资事项；</w:t>
      </w:r>
    </w:p>
    <w:p w14:paraId="2D9D4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十九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公司年度财务预算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  <w:t>财务重大会计制度变更及税收筹划等事项审批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  <w:t>年度预算外费用支出事项，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公司利润分配方案和弥补亏损方案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及其他重大财务事项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；</w:t>
      </w:r>
    </w:p>
    <w:p w14:paraId="1F77CA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60" w:lineRule="exact"/>
        <w:ind w:left="0" w:leftChars="0" w:right="0" w:rightChars="0" w:firstLine="640" w:firstLineChars="200"/>
        <w:textAlignment w:val="baseline"/>
        <w:rPr>
          <w:rFonts w:hint="eastAsia"/>
          <w:color w:val="auto"/>
          <w:lang w:eastAsia="zh-CN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二十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  <w:t>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重要设备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采购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和技术引进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大宗物资采购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重大工程建设项目等事项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；</w:t>
      </w:r>
    </w:p>
    <w:p w14:paraId="775EE744">
      <w:pPr>
        <w:pStyle w:val="3"/>
        <w:pageBreakBefore w:val="0"/>
        <w:numPr>
          <w:ilvl w:val="0"/>
          <w:numId w:val="0"/>
        </w:numPr>
        <w:wordWrap/>
        <w:overflowPunct/>
        <w:topLinePunct w:val="0"/>
        <w:bidi w:val="0"/>
        <w:spacing w:beforeAutospacing="0" w:after="0" w:afterAutospacing="0" w:line="560" w:lineRule="exact"/>
        <w:ind w:left="0" w:leftChars="0" w:right="0" w:rightChars="0" w:firstLine="320" w:firstLineChars="1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二十一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公司内部管理机构设置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调整和人员编制方案；公司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  <w:t>所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属企业的设置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调整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重组和改制等事项；</w:t>
      </w:r>
    </w:p>
    <w:p w14:paraId="60EA8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二十二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公司及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 w:bidi="ar"/>
        </w:rPr>
        <w:t>所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属企业重大人员伤亡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突发事件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经济纠纷以及涉及影响企业安全生产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维护稳定等重大事件的处理和责任追究；</w:t>
      </w:r>
    </w:p>
    <w:p w14:paraId="0E873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hAnsi="仿宋_GB2312"/>
          <w:color w:val="auto"/>
          <w:sz w:val="32"/>
          <w:szCs w:val="32"/>
          <w:highlight w:val="none"/>
          <w:lang w:val="en-US" w:eastAsia="zh-CN"/>
        </w:rPr>
        <w:t>二十三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公司中层经营管理人员的选聘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考核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管理和监督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高层次人才等专业人才的选聘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考核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管理和监督；</w:t>
      </w:r>
    </w:p>
    <w:p w14:paraId="2A8440F2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二十四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）其他需审议的事项。</w:t>
      </w:r>
    </w:p>
    <w:p w14:paraId="57B251EA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第六条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 总经理办公会由总经理或总经理委托的副总经理召集和主持。</w:t>
      </w:r>
    </w:p>
    <w:p w14:paraId="11905C3D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第七条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 出席总经理办公会的人员为：总经理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副总经理。其他需列席人员由总经理根据会议议题确定。</w:t>
      </w:r>
    </w:p>
    <w:p w14:paraId="7813D805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第八条</w:t>
      </w:r>
      <w:r>
        <w:rPr>
          <w:rFonts w:hint="eastAsia" w:ascii="仿宋_GB2312" w:hAnsi="仿宋_GB2312" w:eastAsia="仿宋_GB2312" w:cs="仿宋_GB2312"/>
          <w:b/>
          <w:color w:val="auto"/>
          <w:sz w:val="32"/>
          <w:szCs w:val="32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参加总经理办公会的全体人员应按时参加会议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因病或其他特殊原因不能参加的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应事先向总经理或会议主持人请假。</w:t>
      </w:r>
    </w:p>
    <w:p w14:paraId="067188C9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第九条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 总经理办公会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对要决策的议题进行会前研究，要在充分酝酿、协商和讨论的基础上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逐个进行审议。出席总经理办公会的人员在会上有权充分发表意见。列席会议的人员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经总经理或会议主持人同意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可以就会议议题作说明或发言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2C6D91A6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第十条</w:t>
      </w:r>
      <w:r>
        <w:rPr>
          <w:rFonts w:hint="eastAsia" w:ascii="仿宋_GB2312" w:hAnsi="仿宋_GB2312" w:eastAsia="仿宋_GB2312" w:cs="仿宋_GB2312"/>
          <w:b/>
          <w:color w:val="auto"/>
          <w:sz w:val="32"/>
          <w:szCs w:val="32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应当对会议所议事项作记录。出席会议的人员应当在会议记录上签名。会议记录应包括下列内容：会议召开的日期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地点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召集人姓名；出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列席会议人员的姓名；会议议程；出席会议人员发言要点；所议事项的决定或结果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并由出席会议的总经理</w:t>
      </w:r>
      <w:r>
        <w:rPr>
          <w:rFonts w:hint="eastAsia" w:ascii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副总经理签字认可。</w:t>
      </w:r>
    </w:p>
    <w:p w14:paraId="52F8C1AF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第十一条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 会议记录按档案管理要求进行整理后归档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并长期保存。</w:t>
      </w:r>
    </w:p>
    <w:p w14:paraId="66697D22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第十二条</w:t>
      </w:r>
      <w:r>
        <w:rPr>
          <w:rFonts w:hint="eastAsia" w:ascii="仿宋_GB2312" w:hAnsi="仿宋_GB2312" w:eastAsia="仿宋_GB2312" w:cs="仿宋_GB2312"/>
          <w:b/>
          <w:color w:val="auto"/>
          <w:sz w:val="32"/>
          <w:szCs w:val="32"/>
          <w:highlight w:val="none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根据会议作出的结论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视需要整理会议纪要或形成总经理办公会议决定。</w:t>
      </w:r>
    </w:p>
    <w:p w14:paraId="737A0D96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第十三条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 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负责对总经理办公会决定事项落实执行情况进行督促了解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并将落实情况及时报告总经理和相关负责人。</w:t>
      </w:r>
    </w:p>
    <w:p w14:paraId="730423AD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第十四条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 总经理办公会应遵守保密制度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保守公司机密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议事前不泄露会议内容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作出决策后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通过正常渠道传达贯彻。</w:t>
      </w:r>
    </w:p>
    <w:p w14:paraId="3F1EAD9D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第十五条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 总经理办公会实行回避制度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在讨论涉及与会人员本人相关事项时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需回避的该人员应主动回避。</w:t>
      </w:r>
    </w:p>
    <w:p w14:paraId="2C993C47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第十六条</w:t>
      </w:r>
      <w:r>
        <w:rPr>
          <w:rFonts w:hint="eastAsia" w:ascii="仿宋_GB2312" w:hAnsi="仿宋_GB2312" w:eastAsia="仿宋_GB2312" w:cs="仿宋_GB2312"/>
          <w:b/>
          <w:color w:val="auto"/>
          <w:sz w:val="32"/>
          <w:szCs w:val="32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本规则经公司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董事会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讨论通过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自印发之日起施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。</w:t>
      </w:r>
    </w:p>
    <w:p w14:paraId="3ADB1E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第十七条</w:t>
      </w:r>
      <w:r>
        <w:rPr>
          <w:rFonts w:hint="eastAsia" w:ascii="仿宋_GB2312" w:hAnsi="仿宋_GB2312" w:eastAsia="仿宋_GB2312" w:cs="仿宋_GB2312"/>
          <w:b/>
          <w:color w:val="auto"/>
          <w:sz w:val="32"/>
          <w:szCs w:val="32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 本规则由公司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总经理办公会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 xml:space="preserve">解释及修订。 </w:t>
      </w:r>
    </w:p>
    <w:p w14:paraId="19642C5E">
      <w:pPr>
        <w:pStyle w:val="2"/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</w:p>
    <w:p w14:paraId="6436B721">
      <w:pPr>
        <w:pStyle w:val="3"/>
        <w:pageBreakBefore w:val="0"/>
        <w:wordWrap/>
        <w:overflowPunct/>
        <w:topLinePunct w:val="0"/>
        <w:bidi w:val="0"/>
        <w:spacing w:beforeAutospacing="0" w:after="0" w:afterAutospacing="0" w:line="560" w:lineRule="exact"/>
        <w:ind w:left="0" w:leftChars="0" w:right="0" w:rightChars="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</w:p>
    <w:p w14:paraId="08030A0B">
      <w:pPr>
        <w:pStyle w:val="4"/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</w:p>
    <w:p w14:paraId="5C9079D7">
      <w:pPr>
        <w:pStyle w:val="4"/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</w:p>
    <w:p w14:paraId="358EBA29">
      <w:pPr>
        <w:pStyle w:val="4"/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</w:p>
    <w:p w14:paraId="6AC6B9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000000"/>
    <w:rsid w:val="01A050EF"/>
    <w:rsid w:val="078525E8"/>
    <w:rsid w:val="0B310B66"/>
    <w:rsid w:val="10C72A35"/>
    <w:rsid w:val="150D2643"/>
    <w:rsid w:val="19C24451"/>
    <w:rsid w:val="1A015496"/>
    <w:rsid w:val="2C2C6ACE"/>
    <w:rsid w:val="342D5ABF"/>
    <w:rsid w:val="37695060"/>
    <w:rsid w:val="3D3306D9"/>
    <w:rsid w:val="3D734E8A"/>
    <w:rsid w:val="40860A30"/>
    <w:rsid w:val="42FF4ACA"/>
    <w:rsid w:val="4A981A8C"/>
    <w:rsid w:val="4DD3102D"/>
    <w:rsid w:val="4F486886"/>
    <w:rsid w:val="52045C59"/>
    <w:rsid w:val="57D249B8"/>
    <w:rsid w:val="5B6133AF"/>
    <w:rsid w:val="5F0C439F"/>
    <w:rsid w:val="7D642295"/>
    <w:rsid w:val="7F01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3"/>
    <w:qFormat/>
    <w:uiPriority w:val="99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3">
    <w:name w:val="Body Text"/>
    <w:basedOn w:val="1"/>
    <w:next w:val="4"/>
    <w:unhideWhenUsed/>
    <w:qFormat/>
    <w:uiPriority w:val="99"/>
    <w:pPr>
      <w:widowControl/>
      <w:spacing w:after="120"/>
      <w:jc w:val="left"/>
    </w:pPr>
    <w:rPr>
      <w:kern w:val="0"/>
      <w:sz w:val="20"/>
      <w:szCs w:val="20"/>
    </w:rPr>
  </w:style>
  <w:style w:type="paragraph" w:customStyle="1" w:styleId="4">
    <w:name w:val="_Style 2"/>
    <w:basedOn w:val="1"/>
    <w:autoRedefine/>
    <w:qFormat/>
    <w:uiPriority w:val="0"/>
    <w:pPr>
      <w:ind w:firstLine="200" w:firstLineChars="200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1241</Words>
  <Characters>1241</Characters>
  <Lines>0</Lines>
  <Paragraphs>0</Paragraphs>
  <TotalTime>0</TotalTime>
  <ScaleCrop>false</ScaleCrop>
  <LinksUpToDate>false</LinksUpToDate>
  <CharactersWithSpaces>1276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2023-07-26T07:08:00Z</dcterms:created>
  <dc:creator>Administrator</dc:creator>
  <cp:lastModifiedBy>沈涌</cp:lastModifiedBy>
  <cp:lastPrinted>2023-08-22T08:14:00Z</cp:lastPrinted>
  <dcterms:modified xsi:type="dcterms:W3CDTF">2024-07-24T02:37:04Z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DC8195EEDEBE4A168AD274A008328344_12</vt:lpwstr>
  </property>
</Properties>
</file>