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B7755">
      <w:pPr>
        <w:pStyle w:val="4"/>
        <w:keepNext w:val="0"/>
        <w:keepLines w:val="0"/>
        <w:pageBreakBefore w:val="0"/>
        <w:widowControl w:val="0"/>
        <w:kinsoku/>
        <w:wordWrap/>
        <w:overflowPunct/>
        <w:topLinePunct w:val="0"/>
        <w:autoSpaceDE/>
        <w:autoSpaceDN/>
        <w:bidi w:val="0"/>
        <w:adjustRightInd/>
        <w:snapToGrid/>
        <w:spacing w:line="560" w:lineRule="exact"/>
        <w:ind w:left="249" w:right="414"/>
        <w:textAlignment w:val="auto"/>
        <w:rPr>
          <w:rFonts w:hint="eastAsia"/>
          <w:highlight w:val="none"/>
          <w:lang w:val="en-US" w:eastAsia="zh-CN"/>
        </w:rPr>
      </w:pPr>
      <w:r>
        <w:rPr>
          <w:rFonts w:hint="eastAsia"/>
          <w:highlight w:val="none"/>
          <w:lang w:val="en-US" w:eastAsia="zh-CN"/>
        </w:rPr>
        <w:t>杭州交投智慧交通产业发展有限公司</w:t>
      </w:r>
    </w:p>
    <w:p w14:paraId="6065F15F">
      <w:pPr>
        <w:pStyle w:val="4"/>
        <w:keepNext w:val="0"/>
        <w:keepLines w:val="0"/>
        <w:pageBreakBefore w:val="0"/>
        <w:widowControl w:val="0"/>
        <w:kinsoku/>
        <w:wordWrap/>
        <w:overflowPunct/>
        <w:topLinePunct w:val="0"/>
        <w:autoSpaceDE/>
        <w:autoSpaceDN/>
        <w:bidi w:val="0"/>
        <w:adjustRightInd/>
        <w:snapToGrid/>
        <w:spacing w:line="560" w:lineRule="exact"/>
        <w:ind w:left="249" w:right="414"/>
        <w:textAlignment w:val="auto"/>
        <w:rPr>
          <w:rFonts w:hint="eastAsia"/>
          <w:highlight w:val="none"/>
          <w:lang w:val="en-US" w:eastAsia="zh-CN"/>
        </w:rPr>
      </w:pPr>
      <w:r>
        <w:rPr>
          <w:rFonts w:hint="eastAsia"/>
          <w:highlight w:val="none"/>
          <w:lang w:val="en-US" w:eastAsia="zh-CN"/>
        </w:rPr>
        <w:t>董事会授权管理办法</w:t>
      </w:r>
      <w:bookmarkStart w:id="0" w:name="_GoBack"/>
      <w:bookmarkEnd w:id="0"/>
    </w:p>
    <w:p w14:paraId="22259327">
      <w:pPr>
        <w:keepNext w:val="0"/>
        <w:keepLines w:val="0"/>
        <w:pageBreakBefore w:val="0"/>
        <w:widowControl w:val="0"/>
        <w:kinsoku w:val="0"/>
        <w:wordWrap/>
        <w:overflowPunct/>
        <w:topLinePunct w:val="0"/>
        <w:autoSpaceDE w:val="0"/>
        <w:autoSpaceDN w:val="0"/>
        <w:bidi w:val="0"/>
        <w:adjustRightInd w:val="0"/>
        <w:snapToGrid w:val="0"/>
        <w:spacing w:line="520" w:lineRule="exact"/>
        <w:textAlignment w:val="baseline"/>
        <w:rPr>
          <w:rFonts w:hint="eastAsia" w:ascii="仿宋_GB2312" w:hAnsi="仿宋_GB2312" w:eastAsia="仿宋_GB2312" w:cs="仿宋_GB2312"/>
          <w:color w:val="auto"/>
          <w:sz w:val="32"/>
          <w:szCs w:val="32"/>
          <w:highlight w:val="none"/>
        </w:rPr>
      </w:pPr>
    </w:p>
    <w:p w14:paraId="15099876">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0" w:firstLineChars="0"/>
        <w:jc w:val="center"/>
        <w:textAlignment w:val="baseline"/>
        <w:rPr>
          <w:rFonts w:hint="eastAsia" w:ascii="黑体" w:hAnsi="黑体" w:eastAsia="黑体" w:cs="黑体"/>
          <w:color w:val="auto"/>
          <w:sz w:val="32"/>
          <w:szCs w:val="32"/>
          <w:highlight w:val="none"/>
          <w:lang w:eastAsia="zh-CN"/>
        </w:rPr>
      </w:pPr>
      <w:r>
        <w:rPr>
          <w:rFonts w:hint="eastAsia" w:ascii="黑体" w:hAnsi="黑体" w:eastAsia="黑体" w:cs="黑体"/>
          <w:color w:val="auto"/>
          <w:sz w:val="32"/>
          <w:szCs w:val="32"/>
          <w:highlight w:val="none"/>
        </w:rPr>
        <w:t xml:space="preserve">第一章  </w:t>
      </w:r>
      <w:r>
        <w:rPr>
          <w:rFonts w:hint="eastAsia" w:ascii="黑体" w:hAnsi="黑体" w:eastAsia="黑体" w:cs="黑体"/>
          <w:color w:val="auto"/>
          <w:sz w:val="32"/>
          <w:szCs w:val="32"/>
          <w:highlight w:val="none"/>
          <w:lang w:eastAsia="zh-CN"/>
        </w:rPr>
        <w:t>总 则</w:t>
      </w:r>
    </w:p>
    <w:p w14:paraId="03B40DFB">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第一条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为</w:t>
      </w:r>
      <w:r>
        <w:rPr>
          <w:rFonts w:hint="eastAsia" w:ascii="仿宋_GB2312" w:hAnsi="仿宋_GB2312" w:eastAsia="仿宋_GB2312" w:cs="仿宋_GB2312"/>
          <w:color w:val="auto"/>
          <w:sz w:val="32"/>
          <w:szCs w:val="32"/>
          <w:highlight w:val="none"/>
          <w:lang w:val="en-US" w:eastAsia="zh-CN"/>
        </w:rPr>
        <w:t>进一步完善杭州交投智慧交通产业发展有限公司</w:t>
      </w:r>
      <w:r>
        <w:rPr>
          <w:rFonts w:hint="eastAsia" w:ascii="仿宋_GB2312" w:eastAsia="仿宋_GB2312"/>
          <w:color w:val="auto"/>
          <w:sz w:val="32"/>
          <w:szCs w:val="32"/>
          <w:highlight w:val="none"/>
        </w:rPr>
        <w:t>（以下简称“公司”）</w:t>
      </w:r>
      <w:r>
        <w:rPr>
          <w:rFonts w:hint="eastAsia" w:ascii="仿宋_GB2312" w:hAnsi="仿宋_GB2312" w:eastAsia="仿宋_GB2312" w:cs="仿宋_GB2312"/>
          <w:color w:val="auto"/>
          <w:sz w:val="32"/>
          <w:szCs w:val="32"/>
          <w:highlight w:val="none"/>
          <w:lang w:val="en-US" w:eastAsia="zh-CN"/>
        </w:rPr>
        <w:t>法人</w:t>
      </w:r>
      <w:r>
        <w:rPr>
          <w:rFonts w:hint="eastAsia" w:ascii="仿宋_GB2312" w:hAnsi="仿宋_GB2312" w:eastAsia="仿宋_GB2312" w:cs="仿宋_GB2312"/>
          <w:color w:val="auto"/>
          <w:sz w:val="32"/>
          <w:szCs w:val="32"/>
          <w:highlight w:val="none"/>
        </w:rPr>
        <w:t>治理机制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规范董事会向经理层授权行为</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充分发挥经理层谋经营</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抓落实</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强管理的积极作用</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根据《浙江省国资委关于推进和规范省属企业董事会授权管理工作的通知》（浙国资董事〔2021〕2号）</w:t>
      </w:r>
      <w:r>
        <w:rPr>
          <w:rFonts w:hint="eastAsia" w:ascii="仿宋_GB2312" w:hAnsi="仿宋_GB2312" w:cs="仿宋_GB2312"/>
          <w:color w:val="auto"/>
          <w:sz w:val="32"/>
          <w:szCs w:val="32"/>
          <w:highlight w:val="none"/>
          <w:lang w:eastAsia="zh-CN"/>
        </w:rPr>
        <w:t>、杭州市国资委《关于进一步推进市属国有企业董事会规范开展授权工作的通知》</w:t>
      </w:r>
      <w:r>
        <w:rPr>
          <w:rFonts w:hint="eastAsia" w:ascii="仿宋_GB2312" w:hAnsi="仿宋_GB2312" w:eastAsia="仿宋_GB2312" w:cs="仿宋_GB2312"/>
          <w:color w:val="auto"/>
          <w:sz w:val="32"/>
          <w:szCs w:val="32"/>
          <w:highlight w:val="none"/>
        </w:rPr>
        <w:t>《关于进一步完善杭州市市属企业法人治理结构的意见（试行）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杭州交投智慧交通产业发展有限公司章程》（以下简称“《章程》”）等</w:t>
      </w:r>
      <w:r>
        <w:rPr>
          <w:rFonts w:hint="eastAsia" w:ascii="仿宋_GB2312" w:hAnsi="仿宋_GB2312" w:eastAsia="仿宋_GB2312" w:cs="仿宋_GB2312"/>
          <w:color w:val="auto"/>
          <w:sz w:val="32"/>
          <w:szCs w:val="32"/>
          <w:highlight w:val="none"/>
          <w:lang w:val="en-US" w:eastAsia="zh-CN"/>
        </w:rPr>
        <w:t>有关规定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结合实际</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制定本办法。</w:t>
      </w:r>
    </w:p>
    <w:p w14:paraId="630FAA86">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第二条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杭州交投智慧交通产业发展有限公司管理</w:t>
      </w:r>
      <w:r>
        <w:rPr>
          <w:rFonts w:hint="eastAsia" w:ascii="仿宋_GB2312" w:hAnsi="仿宋_GB2312" w:cs="仿宋_GB2312"/>
          <w:color w:val="auto"/>
          <w:sz w:val="32"/>
          <w:szCs w:val="32"/>
          <w:highlight w:val="none"/>
          <w:lang w:eastAsia="zh-CN"/>
        </w:rPr>
        <w:t>的</w:t>
      </w:r>
      <w:r>
        <w:rPr>
          <w:rFonts w:hint="eastAsia" w:ascii="仿宋_GB2312" w:hAnsi="仿宋_GB2312" w:eastAsia="仿宋_GB2312" w:cs="仿宋_GB2312"/>
          <w:color w:val="auto"/>
          <w:sz w:val="32"/>
          <w:szCs w:val="32"/>
          <w:highlight w:val="none"/>
        </w:rPr>
        <w:t>董事会实施授权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授权对象行使授权及相关管理活动适用本办法。</w:t>
      </w:r>
    </w:p>
    <w:p w14:paraId="448E38FC">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第三条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董事会授权应当有利于加强公司治理体系和治理能力现代化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遵循依法合规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必要可行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权责一致</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风险可控的原则</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实行规范授权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科学授权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适度授权。董事会应当落实授权责任</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不因授权决策而免责</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在授权过程中</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加强监督检查</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根据行权情况对授权进行动态调整。</w:t>
      </w:r>
    </w:p>
    <w:p w14:paraId="22EC9F4C">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0" w:firstLineChars="0"/>
        <w:jc w:val="center"/>
        <w:textAlignment w:val="baseline"/>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第二章  授权范围</w:t>
      </w:r>
    </w:p>
    <w:p w14:paraId="11D1E6AF">
      <w:pPr>
        <w:keepNext w:val="0"/>
        <w:keepLines w:val="0"/>
        <w:pageBreakBefore w:val="0"/>
        <w:widowControl w:val="0"/>
        <w:suppressLineNumbers w:val="0"/>
        <w:kinsoku w:val="0"/>
        <w:wordWrap/>
        <w:overflowPunct/>
        <w:topLinePunct w:val="0"/>
        <w:autoSpaceDE w:val="0"/>
        <w:autoSpaceDN w:val="0"/>
        <w:bidi w:val="0"/>
        <w:adjustRightInd w:val="0"/>
        <w:snapToGrid w:val="0"/>
        <w:spacing w:line="560" w:lineRule="exact"/>
        <w:ind w:firstLine="643" w:firstLineChars="200"/>
        <w:jc w:val="left"/>
        <w:textAlignment w:val="baseline"/>
        <w:rPr>
          <w:color w:val="auto"/>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第四条 </w:t>
      </w:r>
      <w:r>
        <w:rPr>
          <w:rFonts w:hint="eastAsia" w:ascii="仿宋_GB2312" w:hAnsi="仿宋_GB2312" w:eastAsia="黑体" w:cs="仿宋_GB2312"/>
          <w:b w:val="0"/>
          <w:bCs/>
          <w:color w:val="auto"/>
          <w:sz w:val="32"/>
          <w:szCs w:val="32"/>
          <w:highlight w:val="none"/>
          <w:lang w:val="en-US" w:eastAsia="zh-CN"/>
        </w:rPr>
        <w:t xml:space="preserve"> </w:t>
      </w:r>
      <w:r>
        <w:rPr>
          <w:rFonts w:hint="eastAsia" w:ascii="仿宋_GB2312" w:hAnsi="仿宋_GB2312" w:eastAsia="仿宋_GB2312" w:cs="仿宋_GB2312"/>
          <w:color w:val="auto"/>
          <w:kern w:val="2"/>
          <w:sz w:val="32"/>
          <w:szCs w:val="32"/>
          <w:highlight w:val="none"/>
          <w:lang w:val="en-US" w:eastAsia="zh-CN" w:bidi="ar"/>
        </w:rPr>
        <w:t>公司董事会可以根据实际需要，将一定金额、一定范围以内的决策权授予公司经理层行使。经理层是指总经理、副总经理等高级管理人员。</w:t>
      </w:r>
    </w:p>
    <w:p w14:paraId="773DADDD">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val="0"/>
          <w:color w:val="auto"/>
          <w:kern w:val="2"/>
          <w:sz w:val="32"/>
          <w:szCs w:val="32"/>
          <w:highlight w:val="none"/>
          <w:lang w:val="en-US" w:eastAsia="zh-CN" w:bidi="ar-SA"/>
        </w:rPr>
        <w:t>第五条</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董事会对于职责权限范围内的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如投资项目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融资项目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资产处置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产权转让</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资本运作</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工程建设</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担保</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捐赠</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赞助等涉及大额资金的决策事项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应当明确授权额度标准</w:t>
      </w:r>
      <w:r>
        <w:rPr>
          <w:rFonts w:hint="eastAsia" w:ascii="仿宋_GB2312" w:hAnsi="仿宋_GB2312" w:eastAsia="仿宋_GB2312" w:cs="仿宋_GB2312"/>
          <w:color w:val="auto"/>
          <w:sz w:val="32"/>
          <w:szCs w:val="32"/>
          <w:highlight w:val="none"/>
          <w:lang w:eastAsia="zh-CN"/>
        </w:rPr>
        <w:t>。</w:t>
      </w:r>
    </w:p>
    <w:p w14:paraId="6E607A10">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val="0"/>
          <w:color w:val="auto"/>
          <w:kern w:val="2"/>
          <w:sz w:val="32"/>
          <w:szCs w:val="32"/>
          <w:highlight w:val="none"/>
          <w:lang w:val="en-US" w:eastAsia="zh-CN" w:bidi="ar-SA"/>
        </w:rPr>
        <w:t>第六条</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董事会确定授权事项及授权对象时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应当充分考虑授权事项的重要性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复杂性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专业性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风险性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从经营管理状况</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资产负债规模与资产质量</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业务负荷程度</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风险控制能力等方面</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通过定性和定量等维度</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评估授权事项与授权对象职能定位和能力的匹配性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合理确定授权决策事项及授权额度标准</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防止过度授权</w:t>
      </w:r>
      <w:r>
        <w:rPr>
          <w:rFonts w:hint="eastAsia" w:ascii="仿宋_GB2312" w:hAnsi="仿宋_GB2312" w:eastAsia="仿宋_GB2312" w:cs="仿宋_GB2312"/>
          <w:color w:val="auto"/>
          <w:sz w:val="32"/>
          <w:szCs w:val="32"/>
          <w:highlight w:val="none"/>
          <w:lang w:eastAsia="zh-CN"/>
        </w:rPr>
        <w:t>。</w:t>
      </w:r>
    </w:p>
    <w:p w14:paraId="6D7EC7FA">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rPr>
        <w:t>授权事项以授权方案</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授权清单等形式予以明确</w:t>
      </w:r>
      <w:r>
        <w:rPr>
          <w:rFonts w:hint="eastAsia" w:ascii="仿宋_GB2312" w:hAnsi="仿宋_GB2312" w:eastAsia="仿宋_GB2312" w:cs="仿宋_GB2312"/>
          <w:color w:val="auto"/>
          <w:sz w:val="32"/>
          <w:szCs w:val="32"/>
          <w:highlight w:val="none"/>
          <w:lang w:eastAsia="zh-CN"/>
        </w:rPr>
        <w:t>。</w:t>
      </w:r>
    </w:p>
    <w:p w14:paraId="5C6FFF54">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第七条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董事会行使的法定职权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需提请</w:t>
      </w:r>
      <w:r>
        <w:rPr>
          <w:rFonts w:hint="eastAsia" w:ascii="仿宋_GB2312" w:hAnsi="仿宋_GB2312" w:cs="仿宋_GB2312"/>
          <w:color w:val="auto"/>
          <w:sz w:val="32"/>
          <w:szCs w:val="32"/>
          <w:highlight w:val="none"/>
          <w:lang w:val="en-US" w:eastAsia="zh-CN"/>
        </w:rPr>
        <w:t>资产管理</w:t>
      </w:r>
      <w:r>
        <w:rPr>
          <w:rFonts w:hint="eastAsia" w:ascii="仿宋_GB2312" w:hAnsi="仿宋_GB2312" w:eastAsia="仿宋_GB2312" w:cs="仿宋_GB2312"/>
          <w:color w:val="auto"/>
          <w:sz w:val="32"/>
          <w:szCs w:val="32"/>
          <w:highlight w:val="none"/>
          <w:lang w:val="en-US" w:eastAsia="zh-CN"/>
        </w:rPr>
        <w:t>公司</w:t>
      </w:r>
      <w:r>
        <w:rPr>
          <w:rFonts w:hint="eastAsia" w:ascii="仿宋_GB2312" w:hAnsi="仿宋_GB2312" w:eastAsia="仿宋_GB2312" w:cs="仿宋_GB2312"/>
          <w:color w:val="auto"/>
          <w:sz w:val="32"/>
          <w:szCs w:val="32"/>
          <w:highlight w:val="none"/>
        </w:rPr>
        <w:t>决定的事项等不得授权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主要包括</w:t>
      </w:r>
      <w:r>
        <w:rPr>
          <w:rFonts w:hint="eastAsia" w:ascii="仿宋_GB2312" w:hAnsi="仿宋_GB2312" w:cs="仿宋_GB2312"/>
          <w:color w:val="auto"/>
          <w:sz w:val="32"/>
          <w:szCs w:val="32"/>
          <w:highlight w:val="none"/>
          <w:lang w:eastAsia="zh-CN"/>
        </w:rPr>
        <w:t>：</w:t>
      </w:r>
    </w:p>
    <w:p w14:paraId="2273751C">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制订公司战略和中长期发展规划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决定公司经营方针和经营计划</w:t>
      </w:r>
      <w:r>
        <w:rPr>
          <w:rFonts w:hint="eastAsia" w:ascii="仿宋_GB2312" w:hAnsi="仿宋_GB2312" w:cs="仿宋_GB2312"/>
          <w:color w:val="auto"/>
          <w:sz w:val="32"/>
          <w:szCs w:val="32"/>
          <w:highlight w:val="none"/>
          <w:lang w:eastAsia="zh-CN"/>
        </w:rPr>
        <w:t>；</w:t>
      </w:r>
    </w:p>
    <w:p w14:paraId="14A591C5">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制订年度投资计划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对年度投资计划进行重大调整</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w:t>
      </w:r>
      <w:r>
        <w:rPr>
          <w:rFonts w:hint="eastAsia" w:ascii="仿宋_GB2312" w:hAnsi="仿宋_GB2312" w:eastAsia="仿宋_GB2312" w:cs="仿宋_GB2312"/>
          <w:color w:val="auto"/>
          <w:sz w:val="32"/>
          <w:szCs w:val="32"/>
          <w:highlight w:val="none"/>
          <w:lang w:val="en-US" w:eastAsia="zh-CN"/>
        </w:rPr>
        <w:t>集团公司</w:t>
      </w:r>
      <w:r>
        <w:rPr>
          <w:rFonts w:hint="eastAsia" w:ascii="仿宋_GB2312" w:hAnsi="仿宋_GB2312" w:eastAsia="仿宋_GB2312" w:cs="仿宋_GB2312"/>
          <w:color w:val="auto"/>
          <w:sz w:val="32"/>
          <w:szCs w:val="32"/>
          <w:highlight w:val="none"/>
        </w:rPr>
        <w:t>投资监管制度要求应由董事会决策的投资项目</w:t>
      </w:r>
      <w:r>
        <w:rPr>
          <w:rFonts w:hint="eastAsia" w:ascii="仿宋_GB2312" w:hAnsi="仿宋_GB2312" w:cs="仿宋_GB2312"/>
          <w:color w:val="auto"/>
          <w:sz w:val="32"/>
          <w:szCs w:val="32"/>
          <w:highlight w:val="none"/>
          <w:lang w:eastAsia="zh-CN"/>
        </w:rPr>
        <w:t>；</w:t>
      </w:r>
    </w:p>
    <w:p w14:paraId="62003217">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三</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审议批准公司年度全面预算的预算报告、决算报告，制订利润分配方案和弥补亏损方案；</w:t>
      </w:r>
    </w:p>
    <w:p w14:paraId="17FD0291">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四</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制订公司的重大收入分配方案</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包括工资总额预算与清算等</w:t>
      </w:r>
      <w:r>
        <w:rPr>
          <w:rFonts w:hint="eastAsia" w:ascii="仿宋_GB2312" w:hAnsi="仿宋_GB2312" w:cs="仿宋_GB2312"/>
          <w:color w:val="auto"/>
          <w:sz w:val="32"/>
          <w:szCs w:val="32"/>
          <w:highlight w:val="none"/>
          <w:lang w:eastAsia="zh-CN"/>
        </w:rPr>
        <w:t>；</w:t>
      </w:r>
    </w:p>
    <w:p w14:paraId="5999D04B">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五</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制订公司增加或减少注册资本金</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发行债券方案</w:t>
      </w:r>
      <w:r>
        <w:rPr>
          <w:rFonts w:hint="eastAsia" w:ascii="仿宋_GB2312" w:hAnsi="仿宋_GB2312" w:cs="仿宋_GB2312"/>
          <w:color w:val="auto"/>
          <w:sz w:val="32"/>
          <w:szCs w:val="32"/>
          <w:highlight w:val="none"/>
          <w:lang w:eastAsia="zh-CN"/>
        </w:rPr>
        <w:t>；</w:t>
      </w:r>
    </w:p>
    <w:p w14:paraId="50748BBC">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六</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制订公司合并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分立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解散</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清算</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破产或者变更公司形式的方案</w:t>
      </w:r>
      <w:r>
        <w:rPr>
          <w:rFonts w:hint="eastAsia" w:ascii="仿宋_GB2312" w:hAnsi="仿宋_GB2312" w:cs="仿宋_GB2312"/>
          <w:color w:val="auto"/>
          <w:sz w:val="32"/>
          <w:szCs w:val="32"/>
          <w:highlight w:val="none"/>
          <w:lang w:eastAsia="zh-CN"/>
        </w:rPr>
        <w:t>；</w:t>
      </w:r>
    </w:p>
    <w:p w14:paraId="747D3ED2">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决定公司内部管理机构的设置</w:t>
      </w:r>
      <w:r>
        <w:rPr>
          <w:rFonts w:hint="eastAsia" w:ascii="仿宋_GB2312" w:hAnsi="仿宋_GB2312" w:cs="仿宋_GB2312"/>
          <w:color w:val="auto"/>
          <w:sz w:val="32"/>
          <w:szCs w:val="32"/>
          <w:highlight w:val="none"/>
          <w:lang w:eastAsia="zh-CN"/>
        </w:rPr>
        <w:t>；</w:t>
      </w:r>
    </w:p>
    <w:p w14:paraId="72569565">
      <w:pPr>
        <w:keepNext w:val="0"/>
        <w:keepLines w:val="0"/>
        <w:pageBreakBefore w:val="0"/>
        <w:widowControl w:val="0"/>
        <w:wordWrap/>
        <w:overflowPunct/>
        <w:topLinePunct w:val="0"/>
        <w:bidi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八</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根据</w:t>
      </w:r>
      <w:r>
        <w:rPr>
          <w:rFonts w:hint="eastAsia" w:ascii="仿宋_GB2312" w:hAnsi="仿宋_GB2312" w:cs="仿宋_GB2312"/>
          <w:color w:val="auto"/>
          <w:sz w:val="32"/>
          <w:szCs w:val="32"/>
          <w:highlight w:val="none"/>
          <w:lang w:val="en-US" w:eastAsia="zh-CN"/>
        </w:rPr>
        <w:t>资产管理</w:t>
      </w:r>
      <w:r>
        <w:rPr>
          <w:rFonts w:hint="eastAsia" w:ascii="仿宋_GB2312" w:hAnsi="仿宋_GB2312" w:eastAsia="仿宋_GB2312" w:cs="仿宋_GB2312"/>
          <w:color w:val="auto"/>
          <w:sz w:val="32"/>
          <w:szCs w:val="32"/>
          <w:highlight w:val="none"/>
          <w:lang w:val="en-US" w:eastAsia="zh-CN"/>
        </w:rPr>
        <w:t>公司</w:t>
      </w:r>
      <w:r>
        <w:rPr>
          <w:rFonts w:hint="eastAsia" w:ascii="仿宋_GB2312" w:hAnsi="仿宋_GB2312" w:eastAsia="仿宋_GB2312" w:cs="仿宋_GB2312"/>
          <w:color w:val="auto"/>
          <w:sz w:val="32"/>
          <w:szCs w:val="32"/>
          <w:highlight w:val="none"/>
        </w:rPr>
        <w:t>推荐</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聘任或解聘公司总经理</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副总经理等高级管理人员；</w:t>
      </w:r>
    </w:p>
    <w:p w14:paraId="1F4F2072">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九</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决定公司风险管理体系</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内部控制体系</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法律合规体系</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审议公司内部审计报告</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依法批准年度审计计划和重要审计报告</w:t>
      </w:r>
      <w:r>
        <w:rPr>
          <w:rFonts w:hint="eastAsia" w:ascii="仿宋_GB2312" w:hAnsi="仿宋_GB2312" w:cs="仿宋_GB2312"/>
          <w:color w:val="auto"/>
          <w:sz w:val="32"/>
          <w:szCs w:val="32"/>
          <w:highlight w:val="none"/>
          <w:lang w:eastAsia="zh-CN"/>
        </w:rPr>
        <w:t>；</w:t>
      </w:r>
    </w:p>
    <w:p w14:paraId="0B3444F5">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十</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制订公司章程草案或公司章程修改方案</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制定公司基本管理制度</w:t>
      </w:r>
      <w:r>
        <w:rPr>
          <w:rFonts w:hint="eastAsia" w:ascii="仿宋_GB2312" w:hAnsi="仿宋_GB2312" w:cs="仿宋_GB2312"/>
          <w:color w:val="auto"/>
          <w:sz w:val="32"/>
          <w:szCs w:val="32"/>
          <w:highlight w:val="none"/>
          <w:lang w:eastAsia="zh-CN"/>
        </w:rPr>
        <w:t>；</w:t>
      </w:r>
    </w:p>
    <w:p w14:paraId="46703016">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十</w:t>
      </w:r>
      <w:r>
        <w:rPr>
          <w:rFonts w:hint="eastAsia" w:ascii="仿宋_GB2312" w:hAnsi="仿宋_GB2312" w:eastAsia="仿宋_GB2312" w:cs="仿宋_GB2312"/>
          <w:color w:val="auto"/>
          <w:sz w:val="32"/>
          <w:szCs w:val="32"/>
          <w:highlight w:val="none"/>
          <w:lang w:val="en-US" w:eastAsia="zh-CN"/>
        </w:rPr>
        <w:t>一</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董事会认为不应当或不适宜授权的事宜</w:t>
      </w:r>
      <w:r>
        <w:rPr>
          <w:rFonts w:hint="eastAsia" w:ascii="仿宋_GB2312" w:hAnsi="仿宋_GB2312" w:cs="仿宋_GB2312"/>
          <w:color w:val="auto"/>
          <w:sz w:val="32"/>
          <w:szCs w:val="32"/>
          <w:highlight w:val="none"/>
          <w:lang w:eastAsia="zh-CN"/>
        </w:rPr>
        <w:t>；</w:t>
      </w:r>
    </w:p>
    <w:p w14:paraId="710E7B4E">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十</w:t>
      </w:r>
      <w:r>
        <w:rPr>
          <w:rFonts w:hint="eastAsia" w:ascii="仿宋_GB2312" w:hAnsi="仿宋_GB2312" w:eastAsia="仿宋_GB2312" w:cs="仿宋_GB2312"/>
          <w:color w:val="auto"/>
          <w:sz w:val="32"/>
          <w:szCs w:val="32"/>
          <w:highlight w:val="none"/>
          <w:lang w:val="en-US" w:eastAsia="zh-CN"/>
        </w:rPr>
        <w:t>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法规和公司章程规定不得授权的其他事项。</w:t>
      </w:r>
    </w:p>
    <w:p w14:paraId="6BE0E0D7">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第八条  </w:t>
      </w:r>
      <w:r>
        <w:rPr>
          <w:rFonts w:hint="eastAsia" w:ascii="仿宋_GB2312" w:hAnsi="仿宋_GB2312" w:eastAsia="仿宋_GB2312" w:cs="仿宋_GB2312"/>
          <w:color w:val="auto"/>
          <w:sz w:val="32"/>
          <w:szCs w:val="32"/>
          <w:highlight w:val="none"/>
        </w:rPr>
        <w:t>对于新业务</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非主营业务</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以及在有关巡视巡察</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纪检监察</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审计等监督检查中发现突出问题的事项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应当谨慎授权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从严授权。</w:t>
      </w:r>
    </w:p>
    <w:p w14:paraId="21D0DAE4">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第九条  </w:t>
      </w:r>
      <w:r>
        <w:rPr>
          <w:rFonts w:hint="eastAsia" w:ascii="仿宋_GB2312" w:hAnsi="仿宋_GB2312" w:eastAsia="仿宋_GB2312" w:cs="仿宋_GB2312"/>
          <w:color w:val="auto"/>
          <w:sz w:val="32"/>
          <w:szCs w:val="32"/>
          <w:highlight w:val="none"/>
        </w:rPr>
        <w:t>董事会保留对授权事项进行增加</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删减等调整权利</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可以定期对授权方案或授权清单进行统一变更</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或根据需要实时变更。</w:t>
      </w:r>
    </w:p>
    <w:p w14:paraId="3039EF17">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0" w:firstLineChars="0"/>
        <w:jc w:val="center"/>
        <w:textAlignment w:val="baseline"/>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第三章  授权程序</w:t>
      </w:r>
    </w:p>
    <w:p w14:paraId="6D6B2BBD">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第十条</w:t>
      </w:r>
      <w:r>
        <w:rPr>
          <w:rFonts w:hint="eastAsia" w:ascii="仿宋_GB2312" w:hAnsi="仿宋_GB2312" w:eastAsia="仿宋_GB2312" w:cs="仿宋_GB2312"/>
          <w:b/>
          <w:bCs/>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董事会应当规范授权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事先制定授权方案或授权清单</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明确授权目的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授权对象</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授权额度标准</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行权要求</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授权期限</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变更条件等具体内容和操作性要求。</w:t>
      </w:r>
    </w:p>
    <w:p w14:paraId="6F4ADB06">
      <w:pPr>
        <w:keepNext w:val="0"/>
        <w:keepLines w:val="0"/>
        <w:pageBreakBefore w:val="0"/>
        <w:widowControl w:val="0"/>
        <w:wordWrap/>
        <w:overflowPunct/>
        <w:topLinePunct w:val="0"/>
        <w:bidi w:val="0"/>
        <w:spacing w:line="560" w:lineRule="exact"/>
        <w:ind w:firstLine="643"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val="0"/>
          <w:color w:val="auto"/>
          <w:kern w:val="2"/>
          <w:sz w:val="32"/>
          <w:szCs w:val="32"/>
          <w:highlight w:val="none"/>
          <w:lang w:val="en-US" w:eastAsia="zh-CN" w:bidi="ar-SA"/>
        </w:rPr>
        <w:t xml:space="preserve">第十一条 </w:t>
      </w:r>
      <w:r>
        <w:rPr>
          <w:rFonts w:hint="eastAsia" w:ascii="仿宋_GB2312" w:hAnsi="仿宋_GB2312" w:eastAsia="仿宋_GB2312" w:cs="仿宋_GB2312"/>
          <w:color w:val="auto"/>
          <w:sz w:val="32"/>
          <w:szCs w:val="32"/>
          <w:highlight w:val="none"/>
          <w:lang w:val="en-US" w:eastAsia="zh-CN"/>
        </w:rPr>
        <w:t xml:space="preserve"> 公司</w:t>
      </w:r>
      <w:r>
        <w:rPr>
          <w:rFonts w:hint="eastAsia" w:ascii="仿宋_GB2312" w:hAnsi="仿宋_GB2312" w:cs="仿宋_GB2312"/>
          <w:color w:val="auto"/>
          <w:sz w:val="32"/>
          <w:szCs w:val="32"/>
          <w:highlight w:val="none"/>
          <w:lang w:val="en-US" w:eastAsia="zh-CN"/>
        </w:rPr>
        <w:t>综合服务部</w:t>
      </w:r>
      <w:r>
        <w:rPr>
          <w:rFonts w:hint="eastAsia" w:ascii="仿宋_GB2312" w:hAnsi="仿宋_GB2312" w:eastAsia="仿宋_GB2312" w:cs="仿宋_GB2312"/>
          <w:color w:val="auto"/>
          <w:sz w:val="32"/>
          <w:szCs w:val="32"/>
          <w:highlight w:val="none"/>
          <w:lang w:val="en-US" w:eastAsia="zh-CN"/>
        </w:rPr>
        <w:t>作为</w:t>
      </w:r>
      <w:r>
        <w:rPr>
          <w:rFonts w:hint="eastAsia" w:ascii="仿宋_GB2312" w:hAnsi="仿宋_GB2312" w:eastAsia="仿宋_GB2312" w:cs="仿宋_GB2312"/>
          <w:color w:val="auto"/>
          <w:sz w:val="32"/>
          <w:szCs w:val="32"/>
          <w:highlight w:val="none"/>
        </w:rPr>
        <w:t>授权工作牵头部门</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授权方案或授权清单应当提交党</w:t>
      </w:r>
      <w:r>
        <w:rPr>
          <w:rFonts w:hint="eastAsia" w:ascii="仿宋_GB2312" w:hAnsi="仿宋_GB2312" w:cs="仿宋_GB2312"/>
          <w:color w:val="auto"/>
          <w:sz w:val="32"/>
          <w:szCs w:val="32"/>
          <w:highlight w:val="none"/>
          <w:lang w:val="en-US" w:eastAsia="zh-CN"/>
        </w:rPr>
        <w:t>支部委员</w:t>
      </w:r>
      <w:r>
        <w:rPr>
          <w:rFonts w:hint="eastAsia" w:ascii="仿宋_GB2312" w:hAnsi="仿宋_GB2312" w:eastAsia="仿宋_GB2312" w:cs="仿宋_GB2312"/>
          <w:color w:val="auto"/>
          <w:sz w:val="32"/>
          <w:szCs w:val="32"/>
          <w:highlight w:val="none"/>
        </w:rPr>
        <w:t>会前置讨论研究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并由董事会按照职权和规定程序决定。相关职能部室应当按照授权方案或授权清单</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组织修订相关事项决策的权责清单</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章程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制度</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保证相关要求衔接一致。</w:t>
      </w:r>
    </w:p>
    <w:p w14:paraId="4DD46662">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第十二条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董事会认为需临时性授权的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应当以董事会决议等书面形式</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明确授权背景</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授权对象</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行权要求</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终止期限等具体要求。</w:t>
      </w:r>
    </w:p>
    <w:p w14:paraId="41304589">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第十三条</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发生下列情况时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董事会应当及时进行研判</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必要时可对有关授权进行调整或收回</w:t>
      </w:r>
      <w:r>
        <w:rPr>
          <w:rFonts w:hint="eastAsia" w:ascii="仿宋_GB2312" w:hAnsi="仿宋_GB2312" w:cs="仿宋_GB2312"/>
          <w:color w:val="auto"/>
          <w:sz w:val="32"/>
          <w:szCs w:val="32"/>
          <w:highlight w:val="none"/>
          <w:lang w:eastAsia="zh-CN"/>
        </w:rPr>
        <w:t>：</w:t>
      </w:r>
    </w:p>
    <w:p w14:paraId="6F3E8256">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因法律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法规或政策等变化需要调整授权事项时</w:t>
      </w:r>
      <w:r>
        <w:rPr>
          <w:rFonts w:hint="eastAsia" w:ascii="仿宋_GB2312" w:hAnsi="仿宋_GB2312" w:cs="仿宋_GB2312"/>
          <w:color w:val="auto"/>
          <w:sz w:val="32"/>
          <w:szCs w:val="32"/>
          <w:highlight w:val="none"/>
          <w:lang w:eastAsia="zh-CN"/>
        </w:rPr>
        <w:t>；</w:t>
      </w:r>
    </w:p>
    <w:p w14:paraId="0C9EB90F">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授权事项决策质量较差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导致经营管理水平降低和经营状况恶化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风险控制能力显著减弱</w:t>
      </w:r>
      <w:r>
        <w:rPr>
          <w:rFonts w:hint="eastAsia" w:ascii="仿宋_GB2312" w:hAnsi="仿宋_GB2312" w:cs="仿宋_GB2312"/>
          <w:color w:val="auto"/>
          <w:sz w:val="32"/>
          <w:szCs w:val="32"/>
          <w:highlight w:val="none"/>
          <w:lang w:eastAsia="zh-CN"/>
        </w:rPr>
        <w:t>；</w:t>
      </w:r>
    </w:p>
    <w:p w14:paraId="4BF877F0">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三</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授权对象有重大越权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滥用授权或者不作为等行为</w:t>
      </w:r>
      <w:r>
        <w:rPr>
          <w:rFonts w:hint="eastAsia" w:ascii="仿宋_GB2312" w:hAnsi="仿宋_GB2312" w:cs="仿宋_GB2312"/>
          <w:color w:val="auto"/>
          <w:sz w:val="32"/>
          <w:szCs w:val="32"/>
          <w:highlight w:val="none"/>
          <w:lang w:eastAsia="zh-CN"/>
        </w:rPr>
        <w:t>；</w:t>
      </w:r>
    </w:p>
    <w:p w14:paraId="03BA86BD">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四</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授权事项范围不科学</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授权内容不明确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难以落实</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严重影响决策效率</w:t>
      </w:r>
      <w:r>
        <w:rPr>
          <w:rFonts w:hint="eastAsia" w:ascii="仿宋_GB2312" w:hAnsi="仿宋_GB2312" w:cs="仿宋_GB2312"/>
          <w:color w:val="auto"/>
          <w:sz w:val="32"/>
          <w:szCs w:val="32"/>
          <w:highlight w:val="none"/>
          <w:lang w:eastAsia="zh-CN"/>
        </w:rPr>
        <w:t>；</w:t>
      </w:r>
    </w:p>
    <w:p w14:paraId="59ACC853">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五</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董事会认为应当调整或收回的其他情形。</w:t>
      </w:r>
    </w:p>
    <w:p w14:paraId="3F3A7AA2">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eastAsia="仿宋_GB2312" w:cs="仿宋_GB2312"/>
          <w:b/>
          <w:bCs w:val="0"/>
          <w:color w:val="auto"/>
          <w:sz w:val="32"/>
          <w:szCs w:val="32"/>
          <w:highlight w:val="none"/>
          <w:lang w:val="en-US" w:eastAsia="zh-CN"/>
        </w:rPr>
        <w:t>四</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val="0"/>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授权期限届满自然终止</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需继续授权的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应当重新履行决策程序。如出现本办法第十</w:t>
      </w:r>
      <w:r>
        <w:rPr>
          <w:rFonts w:hint="eastAsia" w:ascii="仿宋_GB2312" w:hAnsi="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rPr>
        <w:t>条相关情形</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 xml:space="preserve"> 董事会认为应当终止授权的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经董事会讨论通过后</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可以提前终止。授权对象认为必要时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可以建议董事会收回有关授权。</w:t>
      </w:r>
    </w:p>
    <w:p w14:paraId="1C667FA4">
      <w:pPr>
        <w:keepNext w:val="0"/>
        <w:keepLines w:val="0"/>
        <w:pageBreakBefore w:val="0"/>
        <w:widowControl w:val="0"/>
        <w:wordWrap/>
        <w:overflowPunct/>
        <w:topLinePunct w:val="0"/>
        <w:bidi w:val="0"/>
        <w:spacing w:line="560" w:lineRule="exact"/>
        <w:ind w:firstLine="643"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第十五条  </w:t>
      </w:r>
      <w:r>
        <w:rPr>
          <w:rFonts w:hint="eastAsia" w:ascii="仿宋_GB2312" w:hAnsi="仿宋_GB2312" w:eastAsia="仿宋_GB2312" w:cs="仿宋_GB2312"/>
          <w:color w:val="auto"/>
          <w:sz w:val="32"/>
          <w:szCs w:val="32"/>
          <w:highlight w:val="none"/>
        </w:rPr>
        <w:t>发生授权调整依照本办法第十</w:t>
      </w:r>
      <w:r>
        <w:rPr>
          <w:rFonts w:hint="eastAsia" w:ascii="仿宋_GB2312" w:hAnsi="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rPr>
        <w:t>条规定履行相关程序。发生授权收回时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提交</w:t>
      </w:r>
      <w:r>
        <w:rPr>
          <w:rFonts w:hint="eastAsia" w:ascii="仿宋_GB2312" w:hAnsi="仿宋_GB2312" w:cs="仿宋_GB2312"/>
          <w:color w:val="auto"/>
          <w:sz w:val="32"/>
          <w:szCs w:val="32"/>
          <w:highlight w:val="none"/>
          <w:lang w:val="en-US" w:eastAsia="zh-CN"/>
        </w:rPr>
        <w:t>支委</w:t>
      </w:r>
      <w:r>
        <w:rPr>
          <w:rFonts w:hint="eastAsia" w:ascii="仿宋_GB2312" w:hAnsi="仿宋_GB2312" w:eastAsia="仿宋_GB2312" w:cs="仿宋_GB2312"/>
          <w:color w:val="auto"/>
          <w:sz w:val="32"/>
          <w:szCs w:val="32"/>
          <w:highlight w:val="none"/>
        </w:rPr>
        <w:t>会前置讨论研究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并由董事会决策。</w:t>
      </w:r>
    </w:p>
    <w:p w14:paraId="410BE7D8">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kern w:val="2"/>
          <w:sz w:val="32"/>
          <w:szCs w:val="32"/>
          <w:highlight w:val="none"/>
          <w:lang w:val="en-US" w:eastAsia="zh-CN" w:bidi="ar-SA"/>
        </w:rPr>
        <w:t xml:space="preserve">第十六条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cs="仿宋_GB2312"/>
          <w:color w:val="auto"/>
          <w:sz w:val="32"/>
          <w:szCs w:val="32"/>
          <w:highlight w:val="none"/>
          <w:lang w:val="en-US" w:eastAsia="zh-CN"/>
        </w:rPr>
        <w:t>资产管理</w:t>
      </w:r>
      <w:r>
        <w:rPr>
          <w:rFonts w:hint="eastAsia" w:ascii="仿宋_GB2312" w:hAnsi="仿宋_GB2312" w:eastAsia="仿宋_GB2312" w:cs="仿宋_GB2312"/>
          <w:color w:val="auto"/>
          <w:sz w:val="32"/>
          <w:szCs w:val="32"/>
          <w:highlight w:val="none"/>
          <w:lang w:val="en-US" w:eastAsia="zh-CN"/>
        </w:rPr>
        <w:t>公司</w:t>
      </w:r>
      <w:r>
        <w:rPr>
          <w:rFonts w:hint="eastAsia" w:ascii="仿宋_GB2312" w:hAnsi="仿宋_GB2312" w:eastAsia="仿宋_GB2312" w:cs="仿宋_GB2312"/>
          <w:color w:val="auto"/>
          <w:sz w:val="32"/>
          <w:szCs w:val="32"/>
          <w:highlight w:val="none"/>
        </w:rPr>
        <w:t>授予董事会的职权和董事会授权事项原则上不得转授权。确因工作需要</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授权对象拟将董事会授权的职权转授时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应当向董事会报告转授权的具体原因</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对象</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内容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时限等</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经董事会同意后</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履行相关规定程序。授权发生变更或者终止时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转授权相应进行变更或者终止。对于已转授权的职权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不得再次进行转授。</w:t>
      </w:r>
    </w:p>
    <w:p w14:paraId="3623DB86">
      <w:pPr>
        <w:pStyle w:val="2"/>
        <w:keepNext w:val="0"/>
        <w:keepLines w:val="0"/>
        <w:pageBreakBefore w:val="0"/>
        <w:widowControl w:val="0"/>
        <w:kinsoku w:val="0"/>
        <w:wordWrap/>
        <w:overflowPunct/>
        <w:topLinePunct w:val="0"/>
        <w:autoSpaceDE w:val="0"/>
        <w:autoSpaceDN w:val="0"/>
        <w:bidi w:val="0"/>
        <w:adjustRightInd w:val="0"/>
        <w:snapToGrid w:val="0"/>
        <w:spacing w:line="560" w:lineRule="exact"/>
        <w:textAlignment w:val="baseline"/>
        <w:rPr>
          <w:rFonts w:hint="eastAsia" w:ascii="仿宋_GB2312" w:hAnsi="仿宋_GB2312" w:eastAsia="仿宋_GB2312" w:cs="仿宋_GB2312"/>
          <w:snapToGrid w:val="0"/>
          <w:color w:val="auto"/>
          <w:kern w:val="0"/>
          <w:sz w:val="32"/>
          <w:szCs w:val="32"/>
          <w:highlight w:val="none"/>
          <w:lang w:val="en-US" w:eastAsia="zh-CN"/>
        </w:rPr>
      </w:pPr>
      <w:r>
        <w:rPr>
          <w:rFonts w:hint="eastAsia" w:ascii="仿宋_GB2312" w:hAnsi="仿宋_GB2312" w:eastAsia="仿宋_GB2312" w:cs="仿宋_GB2312"/>
          <w:b/>
          <w:bCs w:val="0"/>
          <w:color w:val="auto"/>
          <w:kern w:val="2"/>
          <w:sz w:val="32"/>
          <w:szCs w:val="32"/>
          <w:highlight w:val="none"/>
          <w:lang w:val="en-US" w:eastAsia="zh-CN" w:bidi="ar-SA"/>
        </w:rPr>
        <w:t xml:space="preserve">第十七条 </w:t>
      </w:r>
      <w:r>
        <w:rPr>
          <w:rFonts w:hint="eastAsia" w:ascii="仿宋_GB2312" w:hAnsi="仿宋_GB2312" w:eastAsia="仿宋_GB2312" w:cs="仿宋_GB2312"/>
          <w:b w:val="0"/>
          <w:bCs/>
          <w:color w:val="auto"/>
          <w:kern w:val="2"/>
          <w:sz w:val="32"/>
          <w:szCs w:val="32"/>
          <w:highlight w:val="none"/>
          <w:lang w:val="en-US" w:eastAsia="zh-CN" w:bidi="ar-SA"/>
        </w:rPr>
        <w:t xml:space="preserve"> 建立授权对象向董事会报告工作机制。授权对象行</w:t>
      </w:r>
      <w:r>
        <w:rPr>
          <w:rFonts w:hint="eastAsia" w:ascii="仿宋_GB2312" w:hAnsi="仿宋_GB2312" w:eastAsia="仿宋_GB2312" w:cs="仿宋_GB2312"/>
          <w:snapToGrid w:val="0"/>
          <w:color w:val="auto"/>
          <w:kern w:val="0"/>
          <w:sz w:val="32"/>
          <w:szCs w:val="32"/>
          <w:highlight w:val="none"/>
          <w:lang w:val="en-US" w:eastAsia="zh-CN"/>
        </w:rPr>
        <w:t>使授权事项应当接受董事会的监督</w:t>
      </w:r>
      <w:r>
        <w:rPr>
          <w:rFonts w:hint="eastAsia" w:ascii="仿宋_GB2312" w:hAnsi="仿宋_GB2312" w:cs="仿宋_GB2312"/>
          <w:snapToGrid w:val="0"/>
          <w:color w:val="auto"/>
          <w:kern w:val="0"/>
          <w:sz w:val="32"/>
          <w:szCs w:val="32"/>
          <w:highlight w:val="none"/>
          <w:lang w:val="en-US" w:eastAsia="zh-CN"/>
        </w:rPr>
        <w:t>，</w:t>
      </w:r>
      <w:r>
        <w:rPr>
          <w:rFonts w:hint="eastAsia" w:ascii="仿宋_GB2312" w:hAnsi="仿宋_GB2312" w:eastAsia="仿宋_GB2312" w:cs="仿宋_GB2312"/>
          <w:snapToGrid w:val="0"/>
          <w:color w:val="auto"/>
          <w:kern w:val="0"/>
          <w:sz w:val="32"/>
          <w:szCs w:val="32"/>
          <w:highlight w:val="none"/>
          <w:lang w:val="en-US" w:eastAsia="zh-CN"/>
        </w:rPr>
        <w:t>至少每半年向董事会报告授权行权情况</w:t>
      </w:r>
      <w:r>
        <w:rPr>
          <w:rFonts w:hint="eastAsia" w:ascii="仿宋_GB2312" w:hAnsi="仿宋_GB2312" w:cs="仿宋_GB2312"/>
          <w:snapToGrid w:val="0"/>
          <w:color w:val="auto"/>
          <w:kern w:val="0"/>
          <w:sz w:val="32"/>
          <w:szCs w:val="32"/>
          <w:highlight w:val="none"/>
          <w:lang w:val="en-US" w:eastAsia="zh-CN"/>
        </w:rPr>
        <w:t>，</w:t>
      </w:r>
      <w:r>
        <w:rPr>
          <w:rFonts w:hint="eastAsia" w:ascii="仿宋_GB2312" w:hAnsi="仿宋_GB2312" w:eastAsia="仿宋_GB2312" w:cs="仿宋_GB2312"/>
          <w:snapToGrid w:val="0"/>
          <w:color w:val="auto"/>
          <w:kern w:val="0"/>
          <w:sz w:val="32"/>
          <w:szCs w:val="32"/>
          <w:highlight w:val="none"/>
          <w:lang w:val="en-US" w:eastAsia="zh-CN"/>
        </w:rPr>
        <w:t>重要情况及时报告。董事会每年至少听取一次授权对象报告。</w:t>
      </w:r>
    </w:p>
    <w:p w14:paraId="374A94EA">
      <w:pPr>
        <w:pStyle w:val="2"/>
        <w:keepNext w:val="0"/>
        <w:keepLines w:val="0"/>
        <w:pageBreakBefore w:val="0"/>
        <w:widowControl w:val="0"/>
        <w:wordWrap/>
        <w:overflowPunct/>
        <w:topLinePunct w:val="0"/>
        <w:bidi w:val="0"/>
        <w:spacing w:line="560" w:lineRule="exact"/>
        <w:rPr>
          <w:rFonts w:hint="eastAsia"/>
          <w:color w:val="auto"/>
          <w:sz w:val="32"/>
          <w:szCs w:val="32"/>
          <w:highlight w:val="none"/>
        </w:rPr>
      </w:pPr>
      <w:r>
        <w:rPr>
          <w:rFonts w:hint="eastAsia" w:ascii="仿宋_GB2312" w:hAnsi="仿宋_GB2312" w:eastAsia="仿宋_GB2312" w:cs="仿宋_GB2312"/>
          <w:snapToGrid w:val="0"/>
          <w:color w:val="auto"/>
          <w:kern w:val="0"/>
          <w:sz w:val="32"/>
          <w:szCs w:val="32"/>
          <w:highlight w:val="none"/>
          <w:lang w:val="en-US" w:eastAsia="zh-CN"/>
        </w:rPr>
        <w:t>授权对象因故无法履行职责时</w:t>
      </w:r>
      <w:r>
        <w:rPr>
          <w:rFonts w:hint="eastAsia" w:ascii="仿宋_GB2312" w:hAnsi="仿宋_GB2312" w:cs="仿宋_GB2312"/>
          <w:snapToGrid w:val="0"/>
          <w:color w:val="auto"/>
          <w:kern w:val="0"/>
          <w:sz w:val="32"/>
          <w:szCs w:val="32"/>
          <w:highlight w:val="none"/>
          <w:lang w:val="en-US" w:eastAsia="zh-CN"/>
        </w:rPr>
        <w:t>，</w:t>
      </w:r>
      <w:r>
        <w:rPr>
          <w:rFonts w:hint="eastAsia" w:ascii="仿宋_GB2312" w:hAnsi="仿宋_GB2312" w:eastAsia="仿宋_GB2312" w:cs="仿宋_GB2312"/>
          <w:snapToGrid w:val="0"/>
          <w:color w:val="auto"/>
          <w:kern w:val="0"/>
          <w:sz w:val="32"/>
          <w:szCs w:val="32"/>
          <w:highlight w:val="none"/>
          <w:lang w:val="en-US" w:eastAsia="zh-CN"/>
        </w:rPr>
        <w:t>应当及时向董事会报告。</w:t>
      </w:r>
    </w:p>
    <w:p w14:paraId="264FE25B">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0" w:firstLineChars="0"/>
        <w:jc w:val="center"/>
        <w:textAlignment w:val="baseline"/>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 xml:space="preserve">第四章 </w:t>
      </w:r>
      <w:r>
        <w:rPr>
          <w:rFonts w:hint="eastAsia" w:ascii="黑体" w:hAnsi="黑体" w:eastAsia="黑体" w:cs="黑体"/>
          <w:color w:val="auto"/>
          <w:sz w:val="32"/>
          <w:szCs w:val="32"/>
          <w:highlight w:val="none"/>
          <w:lang w:val="en-US" w:eastAsia="zh-CN"/>
        </w:rPr>
        <w:t xml:space="preserve"> </w:t>
      </w:r>
      <w:r>
        <w:rPr>
          <w:rFonts w:hint="eastAsia" w:ascii="黑体" w:hAnsi="黑体" w:eastAsia="黑体" w:cs="黑体"/>
          <w:color w:val="auto"/>
          <w:sz w:val="32"/>
          <w:szCs w:val="32"/>
          <w:highlight w:val="none"/>
        </w:rPr>
        <w:t>授权行使管理</w:t>
      </w:r>
    </w:p>
    <w:p w14:paraId="1CF4D75B">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eastAsia="仿宋_GB2312" w:cs="仿宋_GB2312"/>
          <w:b/>
          <w:bCs w:val="0"/>
          <w:color w:val="auto"/>
          <w:sz w:val="32"/>
          <w:szCs w:val="32"/>
          <w:highlight w:val="none"/>
          <w:lang w:val="en-US" w:eastAsia="zh-CN"/>
        </w:rPr>
        <w:t>八</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董事会应当充分保障授权对象依法合规行使授权职权的权利</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不得随意干预授权对象行使授权职权。</w:t>
      </w:r>
    </w:p>
    <w:p w14:paraId="29358E20">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第十</w:t>
      </w:r>
      <w:r>
        <w:rPr>
          <w:rFonts w:hint="eastAsia" w:ascii="仿宋_GB2312" w:hAnsi="仿宋_GB2312" w:eastAsia="仿宋_GB2312" w:cs="仿宋_GB2312"/>
          <w:b/>
          <w:bCs w:val="0"/>
          <w:color w:val="auto"/>
          <w:sz w:val="32"/>
          <w:szCs w:val="32"/>
          <w:highlight w:val="none"/>
          <w:lang w:val="en-US" w:eastAsia="zh-CN"/>
        </w:rPr>
        <w:t>九</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授权对象应当忠实</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诚信</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勤勉</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合法地行使授权职权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不得有下列行为</w:t>
      </w:r>
      <w:r>
        <w:rPr>
          <w:rFonts w:hint="eastAsia" w:ascii="仿宋_GB2312" w:hAnsi="仿宋_GB2312" w:cs="仿宋_GB2312"/>
          <w:color w:val="auto"/>
          <w:sz w:val="32"/>
          <w:szCs w:val="32"/>
          <w:highlight w:val="none"/>
          <w:lang w:eastAsia="zh-CN"/>
        </w:rPr>
        <w:t>：</w:t>
      </w:r>
    </w:p>
    <w:p w14:paraId="616B01BF">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擅自变更或超越授权范围</w:t>
      </w:r>
      <w:r>
        <w:rPr>
          <w:rFonts w:hint="eastAsia" w:ascii="仿宋_GB2312" w:hAnsi="仿宋_GB2312" w:cs="仿宋_GB2312"/>
          <w:color w:val="auto"/>
          <w:sz w:val="32"/>
          <w:szCs w:val="32"/>
          <w:highlight w:val="none"/>
          <w:lang w:eastAsia="zh-CN"/>
        </w:rPr>
        <w:t>；</w:t>
      </w:r>
    </w:p>
    <w:p w14:paraId="39013844">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滥用授权职权</w:t>
      </w:r>
      <w:r>
        <w:rPr>
          <w:rFonts w:hint="eastAsia" w:ascii="仿宋_GB2312" w:hAnsi="仿宋_GB2312" w:cs="仿宋_GB2312"/>
          <w:color w:val="auto"/>
          <w:sz w:val="32"/>
          <w:szCs w:val="32"/>
          <w:highlight w:val="none"/>
          <w:lang w:eastAsia="zh-CN"/>
        </w:rPr>
        <w:t>；</w:t>
      </w:r>
    </w:p>
    <w:p w14:paraId="10A96F22">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三</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消极不行使授权职权</w:t>
      </w:r>
      <w:r>
        <w:rPr>
          <w:rFonts w:hint="eastAsia" w:ascii="仿宋_GB2312" w:hAnsi="仿宋_GB2312" w:cs="仿宋_GB2312"/>
          <w:color w:val="auto"/>
          <w:sz w:val="32"/>
          <w:szCs w:val="32"/>
          <w:highlight w:val="none"/>
          <w:lang w:eastAsia="zh-CN"/>
        </w:rPr>
        <w:t>；</w:t>
      </w:r>
    </w:p>
    <w:p w14:paraId="0989EF9C">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四</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其他违规行使授权职权的行为。</w:t>
      </w:r>
    </w:p>
    <w:p w14:paraId="02F01281">
      <w:pPr>
        <w:keepNext w:val="0"/>
        <w:keepLines w:val="0"/>
        <w:pageBreakBefore w:val="0"/>
        <w:widowControl w:val="0"/>
        <w:wordWrap/>
        <w:overflowPunct/>
        <w:topLinePunct w:val="0"/>
        <w:bidi w:val="0"/>
        <w:spacing w:line="560" w:lineRule="exact"/>
        <w:ind w:firstLine="643"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w:t>
      </w:r>
      <w:r>
        <w:rPr>
          <w:rFonts w:hint="eastAsia" w:ascii="仿宋_GB2312" w:hAnsi="仿宋_GB2312" w:eastAsia="仿宋_GB2312" w:cs="仿宋_GB2312"/>
          <w:b/>
          <w:bCs w:val="0"/>
          <w:color w:val="auto"/>
          <w:sz w:val="32"/>
          <w:szCs w:val="32"/>
          <w:highlight w:val="none"/>
          <w:lang w:val="en-US" w:eastAsia="zh-CN"/>
        </w:rPr>
        <w:t>二十</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val="0"/>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董事会授权经理层的决策事项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议事前应当听取董事长意见</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必要时应听取专业人士意见</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原则上以总经理办公会形式进行集体研究讨论后决定。按规定需要</w:t>
      </w:r>
      <w:r>
        <w:rPr>
          <w:rFonts w:hint="eastAsia" w:ascii="仿宋_GB2312" w:hAnsi="仿宋_GB2312" w:cs="仿宋_GB2312"/>
          <w:color w:val="auto"/>
          <w:sz w:val="32"/>
          <w:szCs w:val="32"/>
          <w:highlight w:val="none"/>
          <w:lang w:val="en-US" w:eastAsia="zh-CN"/>
        </w:rPr>
        <w:t>支</w:t>
      </w:r>
      <w:r>
        <w:rPr>
          <w:rFonts w:hint="eastAsia" w:ascii="仿宋_GB2312" w:hAnsi="仿宋_GB2312" w:eastAsia="仿宋_GB2312" w:cs="仿宋_GB2312"/>
          <w:color w:val="auto"/>
          <w:sz w:val="32"/>
          <w:szCs w:val="32"/>
          <w:highlight w:val="none"/>
        </w:rPr>
        <w:t>委前置研究的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从其规定。</w:t>
      </w:r>
    </w:p>
    <w:p w14:paraId="0279C341">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eastAsia="仿宋_GB2312" w:cs="仿宋_GB2312"/>
          <w:b/>
          <w:bCs w:val="0"/>
          <w:color w:val="auto"/>
          <w:sz w:val="32"/>
          <w:szCs w:val="32"/>
          <w:highlight w:val="none"/>
          <w:lang w:val="en-US" w:eastAsia="zh-CN"/>
        </w:rPr>
        <w:t>一</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授权对象审议决策授权事项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应当形成会议纪要</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总经理办公会议纪要由总经理签发</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纪要形成后</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各职能部门按照分工负责的原则逐级落实</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相关情况及时向总经理报告。</w:t>
      </w:r>
    </w:p>
    <w:p w14:paraId="3C1460EB">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eastAsia="仿宋_GB2312" w:cs="仿宋_GB2312"/>
          <w:b/>
          <w:bCs w:val="0"/>
          <w:color w:val="auto"/>
          <w:sz w:val="32"/>
          <w:szCs w:val="32"/>
          <w:highlight w:val="none"/>
          <w:lang w:val="en-US" w:eastAsia="zh-CN"/>
        </w:rPr>
        <w:t>二</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授权事项在实施过程中</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董事会或者授权对象认为事项特殊</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情况复杂或牵涉其他敏感因素</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已经超出了授权对象的决策能力的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可以将该事项临时提级至董事会决策。</w:t>
      </w:r>
    </w:p>
    <w:p w14:paraId="62716BAC">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eastAsia="仿宋_GB2312" w:cs="仿宋_GB2312"/>
          <w:b/>
          <w:bCs w:val="0"/>
          <w:color w:val="auto"/>
          <w:sz w:val="32"/>
          <w:szCs w:val="32"/>
          <w:highlight w:val="none"/>
          <w:lang w:val="en-US" w:eastAsia="zh-CN"/>
        </w:rPr>
        <w:t>三</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val="0"/>
          <w:color w:val="auto"/>
          <w:sz w:val="32"/>
          <w:szCs w:val="32"/>
          <w:highlight w:val="none"/>
          <w:lang w:val="en-US" w:eastAsia="zh-CN"/>
        </w:rPr>
        <w:t xml:space="preserve"> </w:t>
      </w:r>
      <w:r>
        <w:rPr>
          <w:rFonts w:hint="eastAsia" w:ascii="仿宋_GB2312" w:hAnsi="仿宋_GB2312" w:eastAsia="仿宋_GB2312" w:cs="仿宋_GB2312"/>
          <w:b/>
          <w:bCs/>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当授权事项与授权对象存在关联关系或存在可能影响授权对象公正履职的情形</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授权对象应当主动回避</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将该事项提交董事会决策。</w:t>
      </w:r>
    </w:p>
    <w:p w14:paraId="22A33673">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0" w:firstLineChars="0"/>
        <w:jc w:val="center"/>
        <w:textAlignment w:val="baseline"/>
        <w:rPr>
          <w:rFonts w:hint="eastAsia" w:ascii="黑体" w:hAnsi="黑体" w:eastAsia="黑体" w:cs="黑体"/>
          <w:color w:val="auto"/>
          <w:sz w:val="32"/>
          <w:szCs w:val="32"/>
          <w:highlight w:val="none"/>
          <w:lang w:eastAsia="zh-CN"/>
        </w:rPr>
      </w:pPr>
      <w:r>
        <w:rPr>
          <w:rFonts w:hint="eastAsia" w:ascii="黑体" w:hAnsi="黑体" w:eastAsia="黑体" w:cs="黑体"/>
          <w:color w:val="auto"/>
          <w:sz w:val="32"/>
          <w:szCs w:val="32"/>
          <w:highlight w:val="none"/>
        </w:rPr>
        <w:t>第</w:t>
      </w:r>
      <w:r>
        <w:rPr>
          <w:rFonts w:hint="eastAsia" w:ascii="黑体" w:hAnsi="黑体" w:eastAsia="黑体" w:cs="黑体"/>
          <w:color w:val="auto"/>
          <w:sz w:val="32"/>
          <w:szCs w:val="32"/>
          <w:highlight w:val="none"/>
          <w:lang w:val="en-US" w:eastAsia="zh-CN"/>
        </w:rPr>
        <w:t>五</w:t>
      </w:r>
      <w:r>
        <w:rPr>
          <w:rFonts w:hint="eastAsia" w:ascii="黑体" w:hAnsi="黑体" w:eastAsia="黑体" w:cs="黑体"/>
          <w:color w:val="auto"/>
          <w:sz w:val="32"/>
          <w:szCs w:val="32"/>
          <w:highlight w:val="none"/>
        </w:rPr>
        <w:t xml:space="preserve">章 </w:t>
      </w:r>
      <w:r>
        <w:rPr>
          <w:rFonts w:hint="eastAsia" w:ascii="黑体" w:hAnsi="黑体" w:eastAsia="黑体" w:cs="黑体"/>
          <w:color w:val="auto"/>
          <w:sz w:val="32"/>
          <w:szCs w:val="32"/>
          <w:highlight w:val="none"/>
          <w:lang w:val="en-US" w:eastAsia="zh-CN"/>
        </w:rPr>
        <w:t xml:space="preserve"> </w:t>
      </w:r>
      <w:r>
        <w:rPr>
          <w:rFonts w:hint="eastAsia" w:ascii="黑体" w:hAnsi="黑体" w:eastAsia="黑体" w:cs="黑体"/>
          <w:color w:val="auto"/>
          <w:sz w:val="32"/>
          <w:szCs w:val="32"/>
          <w:highlight w:val="none"/>
        </w:rPr>
        <w:t xml:space="preserve"> </w:t>
      </w:r>
      <w:r>
        <w:rPr>
          <w:rFonts w:hint="eastAsia" w:ascii="黑体" w:hAnsi="黑体" w:eastAsia="黑体" w:cs="黑体"/>
          <w:color w:val="auto"/>
          <w:sz w:val="32"/>
          <w:szCs w:val="32"/>
          <w:highlight w:val="none"/>
          <w:lang w:eastAsia="zh-CN"/>
        </w:rPr>
        <w:t>附 则</w:t>
      </w:r>
    </w:p>
    <w:p w14:paraId="70D429BB">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eastAsia="仿宋_GB2312" w:cs="仿宋_GB2312"/>
          <w:b/>
          <w:bCs w:val="0"/>
          <w:color w:val="auto"/>
          <w:sz w:val="32"/>
          <w:szCs w:val="32"/>
          <w:highlight w:val="none"/>
          <w:lang w:val="en-US" w:eastAsia="zh-CN"/>
        </w:rPr>
        <w:t>四</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val="0"/>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本办法由公司</w:t>
      </w:r>
      <w:r>
        <w:rPr>
          <w:rFonts w:hint="eastAsia" w:ascii="仿宋_GB2312" w:hAnsi="仿宋_GB2312" w:eastAsia="仿宋_GB2312" w:cs="仿宋_GB2312"/>
          <w:color w:val="auto"/>
          <w:sz w:val="32"/>
          <w:szCs w:val="32"/>
          <w:highlight w:val="none"/>
          <w:lang w:val="en-US" w:eastAsia="zh-CN"/>
        </w:rPr>
        <w:t>董事会</w:t>
      </w:r>
      <w:r>
        <w:rPr>
          <w:rFonts w:hint="eastAsia" w:ascii="仿宋_GB2312" w:hAnsi="仿宋_GB2312" w:eastAsia="仿宋_GB2312" w:cs="仿宋_GB2312"/>
          <w:color w:val="auto"/>
          <w:sz w:val="32"/>
          <w:szCs w:val="32"/>
          <w:highlight w:val="none"/>
        </w:rPr>
        <w:t>负责解释。</w:t>
      </w:r>
    </w:p>
    <w:p w14:paraId="21628AEB">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3" w:firstLineChars="200"/>
        <w:textAlignment w:val="baseline"/>
        <w:rPr>
          <w:rFonts w:hint="eastAsia" w:ascii="仿宋_GB2312" w:hAnsi="仿宋_GB2312" w:cs="仿宋_GB2312"/>
          <w:color w:val="auto"/>
          <w:sz w:val="32"/>
          <w:szCs w:val="32"/>
          <w:highlight w:val="none"/>
          <w:lang w:eastAsia="zh-CN"/>
        </w:rPr>
      </w:pPr>
      <w:r>
        <w:rPr>
          <w:rFonts w:hint="eastAsia" w:ascii="仿宋_GB2312" w:hAnsi="仿宋_GB2312" w:eastAsia="仿宋_GB2312" w:cs="仿宋_GB2312"/>
          <w:b/>
          <w:bCs w:val="0"/>
          <w:color w:val="auto"/>
          <w:sz w:val="32"/>
          <w:szCs w:val="32"/>
          <w:highlight w:val="none"/>
          <w:lang w:eastAsia="zh-CN"/>
        </w:rPr>
        <w:t>第二十</w:t>
      </w:r>
      <w:r>
        <w:rPr>
          <w:rFonts w:hint="eastAsia" w:ascii="仿宋_GB2312" w:hAnsi="仿宋_GB2312" w:eastAsia="仿宋_GB2312" w:cs="仿宋_GB2312"/>
          <w:b/>
          <w:bCs w:val="0"/>
          <w:color w:val="auto"/>
          <w:sz w:val="32"/>
          <w:szCs w:val="32"/>
          <w:highlight w:val="none"/>
          <w:lang w:val="en-US" w:eastAsia="zh-CN"/>
        </w:rPr>
        <w:t>五</w:t>
      </w:r>
      <w:r>
        <w:rPr>
          <w:rFonts w:hint="eastAsia" w:ascii="仿宋_GB2312" w:hAnsi="仿宋_GB2312" w:eastAsia="仿宋_GB2312" w:cs="仿宋_GB2312"/>
          <w:b/>
          <w:bCs w:val="0"/>
          <w:color w:val="auto"/>
          <w:sz w:val="32"/>
          <w:szCs w:val="32"/>
          <w:highlight w:val="none"/>
          <w:lang w:eastAsia="zh-CN"/>
        </w:rPr>
        <w:t>条</w:t>
      </w:r>
      <w:r>
        <w:rPr>
          <w:rFonts w:hint="eastAsia" w:ascii="仿宋_GB2312" w:hAnsi="仿宋_GB2312" w:eastAsia="仿宋_GB2312" w:cs="仿宋_GB2312"/>
          <w:b/>
          <w:bCs w:val="0"/>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本办法经公司董事会讨论通过</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自印发之日起施行</w:t>
      </w:r>
      <w:r>
        <w:rPr>
          <w:rFonts w:hint="eastAsia" w:ascii="仿宋_GB2312" w:hAnsi="仿宋_GB2312" w:cs="仿宋_GB2312"/>
          <w:color w:val="auto"/>
          <w:sz w:val="32"/>
          <w:szCs w:val="32"/>
          <w:highlight w:val="none"/>
          <w:lang w:eastAsia="zh-CN"/>
        </w:rPr>
        <w:t>。</w:t>
      </w:r>
    </w:p>
    <w:p w14:paraId="40F91715">
      <w:pPr>
        <w:pStyle w:val="7"/>
        <w:keepNext w:val="0"/>
        <w:keepLines w:val="0"/>
        <w:widowControl/>
        <w:suppressLineNumbers w:val="0"/>
        <w:spacing w:beforeAutospacing="0" w:afterAutospacing="0" w:line="560" w:lineRule="exact"/>
        <w:ind w:left="0" w:firstLine="0"/>
        <w:jc w:val="left"/>
        <w:textAlignment w:val="center"/>
        <w:rPr>
          <w:highlight w:val="none"/>
        </w:rPr>
      </w:pPr>
      <w:r>
        <w:rPr>
          <w:rFonts w:ascii="黑体" w:hAnsi="宋体" w:eastAsia="黑体" w:cs="黑体"/>
          <w:color w:val="000000"/>
          <w:spacing w:val="0"/>
          <w:position w:val="0"/>
          <w:sz w:val="31"/>
          <w:szCs w:val="31"/>
          <w:highlight w:val="none"/>
        </w:rPr>
        <w:t>附件</w:t>
      </w:r>
    </w:p>
    <w:p w14:paraId="6E79D65A">
      <w:pPr>
        <w:pStyle w:val="7"/>
        <w:keepNext w:val="0"/>
        <w:keepLines w:val="0"/>
        <w:widowControl/>
        <w:suppressLineNumbers w:val="0"/>
        <w:spacing w:beforeAutospacing="0" w:afterAutospacing="0" w:line="560" w:lineRule="exact"/>
        <w:ind w:left="0" w:firstLine="0"/>
        <w:jc w:val="center"/>
        <w:textAlignment w:val="center"/>
        <w:rPr>
          <w:rFonts w:hint="eastAsia" w:ascii="小标宋" w:hAnsi="小标宋" w:eastAsia="小标宋" w:cs="小标宋"/>
          <w:color w:val="000000"/>
          <w:spacing w:val="0"/>
          <w:position w:val="0"/>
          <w:sz w:val="43"/>
          <w:szCs w:val="43"/>
          <w:highlight w:val="none"/>
        </w:rPr>
      </w:pPr>
      <w:r>
        <w:rPr>
          <w:rFonts w:hint="eastAsia" w:ascii="小标宋" w:hAnsi="小标宋" w:eastAsia="小标宋" w:cs="小标宋"/>
          <w:color w:val="000000"/>
          <w:spacing w:val="0"/>
          <w:position w:val="0"/>
          <w:sz w:val="43"/>
          <w:szCs w:val="43"/>
          <w:highlight w:val="none"/>
        </w:rPr>
        <w:t>杭州交投智慧交通产业发展有限公司</w:t>
      </w:r>
    </w:p>
    <w:p w14:paraId="1DEAA53F">
      <w:pPr>
        <w:pStyle w:val="7"/>
        <w:keepNext w:val="0"/>
        <w:keepLines w:val="0"/>
        <w:widowControl/>
        <w:suppressLineNumbers w:val="0"/>
        <w:spacing w:beforeAutospacing="0" w:afterAutospacing="0" w:line="560" w:lineRule="exact"/>
        <w:ind w:left="0" w:firstLine="0"/>
        <w:jc w:val="center"/>
        <w:textAlignment w:val="center"/>
        <w:rPr>
          <w:highlight w:val="none"/>
        </w:rPr>
      </w:pPr>
      <w:r>
        <w:rPr>
          <w:rFonts w:ascii="小标宋" w:hAnsi="小标宋" w:eastAsia="小标宋" w:cs="小标宋"/>
          <w:color w:val="000000"/>
          <w:spacing w:val="0"/>
          <w:position w:val="0"/>
          <w:sz w:val="43"/>
          <w:szCs w:val="43"/>
          <w:highlight w:val="none"/>
        </w:rPr>
        <w:t>董事会授权方案</w:t>
      </w:r>
    </w:p>
    <w:p w14:paraId="5764D2B8">
      <w:pPr>
        <w:pStyle w:val="7"/>
        <w:keepNext w:val="0"/>
        <w:keepLines w:val="0"/>
        <w:widowControl/>
        <w:suppressLineNumbers w:val="0"/>
        <w:spacing w:beforeAutospacing="0" w:afterAutospacing="0" w:line="560" w:lineRule="exact"/>
        <w:ind w:left="0" w:firstLine="0"/>
        <w:jc w:val="left"/>
        <w:textAlignment w:val="center"/>
        <w:rPr>
          <w:rFonts w:hint="eastAsia" w:ascii="黑体" w:hAnsi="宋体" w:eastAsia="黑体" w:cs="黑体"/>
          <w:color w:val="000000"/>
          <w:spacing w:val="0"/>
          <w:position w:val="0"/>
          <w:sz w:val="31"/>
          <w:szCs w:val="31"/>
          <w:highlight w:val="none"/>
        </w:rPr>
      </w:pPr>
    </w:p>
    <w:p w14:paraId="7847D627">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黑体" w:hAnsi="宋体" w:eastAsia="黑体" w:cs="黑体"/>
          <w:color w:val="000000"/>
          <w:spacing w:val="0"/>
          <w:position w:val="0"/>
          <w:sz w:val="31"/>
          <w:szCs w:val="31"/>
          <w:highlight w:val="none"/>
        </w:rPr>
        <w:t>一、授权背景</w:t>
      </w:r>
    </w:p>
    <w:p w14:paraId="678719C1">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ascii="仿宋_GB2312" w:eastAsia="仿宋_GB2312" w:cs="仿宋_GB2312"/>
          <w:color w:val="000000"/>
          <w:spacing w:val="0"/>
          <w:position w:val="0"/>
          <w:sz w:val="31"/>
          <w:szCs w:val="31"/>
          <w:highlight w:val="none"/>
        </w:rPr>
        <w:t>根据杭州市国资委《关于进一步推进市属国有企业董事会规</w:t>
      </w:r>
      <w:r>
        <w:rPr>
          <w:rFonts w:hint="eastAsia" w:ascii="仿宋_GB2312" w:eastAsia="仿宋_GB2312" w:cs="仿宋_GB2312"/>
          <w:color w:val="000000"/>
          <w:spacing w:val="0"/>
          <w:position w:val="0"/>
          <w:sz w:val="31"/>
          <w:szCs w:val="31"/>
          <w:highlight w:val="none"/>
        </w:rPr>
        <w:t>范开展授权工作的通知》文件要求，为健全完善公司董事会授权管理机制，做到规范授权、科学授权、适度授权，确保董事会决策质量和效率相统一，特制定本授权方案。</w:t>
      </w:r>
    </w:p>
    <w:p w14:paraId="5B8D8F89">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黑体" w:hAnsi="宋体" w:eastAsia="黑体" w:cs="黑体"/>
          <w:color w:val="000000"/>
          <w:spacing w:val="0"/>
          <w:position w:val="0"/>
          <w:sz w:val="31"/>
          <w:szCs w:val="31"/>
          <w:highlight w:val="none"/>
        </w:rPr>
        <w:t>二、授权对象</w:t>
      </w:r>
    </w:p>
    <w:p w14:paraId="05E983CC">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仿宋_GB2312" w:eastAsia="仿宋_GB2312" w:cs="仿宋_GB2312"/>
          <w:color w:val="000000"/>
          <w:spacing w:val="0"/>
          <w:position w:val="0"/>
          <w:sz w:val="31"/>
          <w:szCs w:val="31"/>
          <w:highlight w:val="none"/>
        </w:rPr>
        <w:t>根据实际需要，将一定金额、一定范围以内的决策权授予公司经理层行使。经理层是指总经理、副总经理等高级管理人员。</w:t>
      </w:r>
    </w:p>
    <w:p w14:paraId="1C7E5E22">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黑体" w:hAnsi="宋体" w:eastAsia="黑体" w:cs="黑体"/>
          <w:color w:val="000000"/>
          <w:spacing w:val="0"/>
          <w:position w:val="0"/>
          <w:sz w:val="31"/>
          <w:szCs w:val="31"/>
          <w:highlight w:val="none"/>
        </w:rPr>
        <w:t>三、授权范围</w:t>
      </w:r>
    </w:p>
    <w:p w14:paraId="5AF4B368">
      <w:pPr>
        <w:pStyle w:val="7"/>
        <w:keepNext w:val="0"/>
        <w:keepLines w:val="0"/>
        <w:widowControl/>
        <w:suppressLineNumbers w:val="0"/>
        <w:spacing w:before="0" w:beforeAutospacing="0" w:after="0" w:afterAutospacing="0" w:line="560" w:lineRule="exact"/>
        <w:ind w:left="0" w:firstLine="620" w:firstLineChars="200"/>
        <w:contextualSpacing/>
        <w:jc w:val="left"/>
        <w:rPr>
          <w:rFonts w:hint="eastAsia" w:ascii="仿宋_GB2312" w:hAnsi="仿宋_GB2312" w:eastAsia="仿宋_GB2312" w:cs="仿宋_GB2312"/>
          <w:color w:val="000000"/>
          <w:spacing w:val="0"/>
          <w:position w:val="0"/>
          <w:sz w:val="31"/>
          <w:szCs w:val="31"/>
          <w:highlight w:val="none"/>
        </w:rPr>
      </w:pPr>
      <w:r>
        <w:rPr>
          <w:rFonts w:hint="eastAsia" w:ascii="仿宋_GB2312" w:hAnsi="仿宋_GB2312" w:cs="仿宋_GB2312"/>
          <w:color w:val="000000"/>
          <w:spacing w:val="0"/>
          <w:position w:val="0"/>
          <w:sz w:val="31"/>
          <w:szCs w:val="31"/>
          <w:highlight w:val="none"/>
          <w:lang w:val="en-US" w:eastAsia="zh-CN"/>
        </w:rPr>
        <w:t>1</w:t>
      </w:r>
      <w:r>
        <w:rPr>
          <w:rFonts w:hint="eastAsia" w:ascii="仿宋_GB2312" w:hAnsi="仿宋_GB2312" w:cs="仿宋_GB2312"/>
          <w:color w:val="000000"/>
          <w:spacing w:val="0"/>
          <w:position w:val="0"/>
          <w:sz w:val="31"/>
          <w:szCs w:val="31"/>
          <w:highlight w:val="none"/>
        </w:rPr>
        <w:t>.</w:t>
      </w:r>
      <w:r>
        <w:rPr>
          <w:rFonts w:hint="eastAsia" w:ascii="仿宋_GB2312" w:hAnsi="仿宋_GB2312" w:eastAsia="仿宋_GB2312" w:cs="仿宋_GB2312"/>
          <w:color w:val="000000"/>
          <w:spacing w:val="0"/>
          <w:position w:val="0"/>
          <w:sz w:val="31"/>
          <w:szCs w:val="31"/>
          <w:highlight w:val="none"/>
        </w:rPr>
        <w:t>决定公司员工薪酬分配方案；</w:t>
      </w:r>
    </w:p>
    <w:p w14:paraId="1D1EF861">
      <w:pPr>
        <w:pStyle w:val="7"/>
        <w:keepNext w:val="0"/>
        <w:keepLines w:val="0"/>
        <w:widowControl/>
        <w:suppressLineNumbers w:val="0"/>
        <w:spacing w:before="0" w:beforeAutospacing="0" w:after="0" w:afterAutospacing="0" w:line="560" w:lineRule="exact"/>
        <w:ind w:left="0" w:firstLine="620" w:firstLineChars="200"/>
        <w:contextualSpacing/>
        <w:jc w:val="left"/>
        <w:rPr>
          <w:rFonts w:hint="eastAsia" w:ascii="仿宋_GB2312" w:hAnsi="仿宋_GB2312" w:cs="仿宋_GB2312"/>
          <w:highlight w:val="none"/>
        </w:rPr>
      </w:pPr>
      <w:r>
        <w:rPr>
          <w:rFonts w:hint="eastAsia" w:ascii="仿宋_GB2312" w:hAnsi="仿宋_GB2312" w:cs="仿宋_GB2312"/>
          <w:color w:val="000000"/>
          <w:spacing w:val="0"/>
          <w:position w:val="0"/>
          <w:sz w:val="31"/>
          <w:szCs w:val="31"/>
          <w:highlight w:val="none"/>
          <w:lang w:val="en-US" w:eastAsia="zh-CN"/>
        </w:rPr>
        <w:t>2</w:t>
      </w:r>
      <w:r>
        <w:rPr>
          <w:rFonts w:hint="eastAsia" w:ascii="仿宋_GB2312" w:hAnsi="仿宋_GB2312" w:cs="仿宋_GB2312"/>
          <w:color w:val="000000"/>
          <w:spacing w:val="0"/>
          <w:position w:val="0"/>
          <w:sz w:val="31"/>
          <w:szCs w:val="31"/>
          <w:highlight w:val="none"/>
        </w:rPr>
        <w:t>.</w:t>
      </w:r>
      <w:r>
        <w:rPr>
          <w:rFonts w:hint="eastAsia" w:ascii="仿宋_GB2312" w:hAnsi="仿宋_GB2312" w:eastAsia="仿宋_GB2312" w:cs="仿宋_GB2312"/>
          <w:color w:val="000000"/>
          <w:spacing w:val="0"/>
          <w:position w:val="0"/>
          <w:sz w:val="31"/>
          <w:szCs w:val="31"/>
          <w:highlight w:val="none"/>
        </w:rPr>
        <w:t>拟订公司企业年金方案；</w:t>
      </w:r>
    </w:p>
    <w:p w14:paraId="0CB45DC2">
      <w:pPr>
        <w:pStyle w:val="7"/>
        <w:keepNext w:val="0"/>
        <w:keepLines w:val="0"/>
        <w:widowControl/>
        <w:suppressLineNumbers w:val="0"/>
        <w:spacing w:before="0" w:beforeAutospacing="0" w:after="0" w:afterAutospacing="0" w:line="560" w:lineRule="exact"/>
        <w:ind w:left="0" w:firstLine="620" w:firstLineChars="200"/>
        <w:contextualSpacing/>
        <w:jc w:val="left"/>
        <w:rPr>
          <w:rFonts w:hint="eastAsia" w:ascii="仿宋_GB2312" w:hAnsi="仿宋_GB2312" w:cs="仿宋_GB2312"/>
          <w:highlight w:val="none"/>
        </w:rPr>
      </w:pPr>
      <w:r>
        <w:rPr>
          <w:rFonts w:hint="eastAsia" w:ascii="仿宋_GB2312" w:hAnsi="仿宋_GB2312" w:cs="仿宋_GB2312"/>
          <w:color w:val="000000"/>
          <w:spacing w:val="0"/>
          <w:position w:val="0"/>
          <w:sz w:val="31"/>
          <w:szCs w:val="31"/>
          <w:highlight w:val="none"/>
          <w:lang w:val="en-US" w:eastAsia="zh-CN"/>
        </w:rPr>
        <w:t>3</w:t>
      </w:r>
      <w:r>
        <w:rPr>
          <w:rFonts w:hint="eastAsia" w:ascii="仿宋_GB2312" w:hAnsi="仿宋_GB2312" w:cs="仿宋_GB2312"/>
          <w:color w:val="000000"/>
          <w:spacing w:val="0"/>
          <w:position w:val="0"/>
          <w:sz w:val="31"/>
          <w:szCs w:val="31"/>
          <w:highlight w:val="none"/>
        </w:rPr>
        <w:t>.</w:t>
      </w:r>
      <w:r>
        <w:rPr>
          <w:rFonts w:hint="eastAsia" w:ascii="仿宋_GB2312" w:hAnsi="仿宋_GB2312" w:eastAsia="仿宋_GB2312" w:cs="仿宋_GB2312"/>
          <w:color w:val="000000"/>
          <w:spacing w:val="0"/>
          <w:position w:val="0"/>
          <w:sz w:val="31"/>
          <w:szCs w:val="31"/>
          <w:highlight w:val="none"/>
        </w:rPr>
        <w:t>董事会认为适宜授权的其他事项。</w:t>
      </w:r>
    </w:p>
    <w:p w14:paraId="2201F2B0">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黑体" w:hAnsi="宋体" w:eastAsia="黑体" w:cs="黑体"/>
          <w:color w:val="000000"/>
          <w:spacing w:val="0"/>
          <w:position w:val="0"/>
          <w:sz w:val="31"/>
          <w:szCs w:val="31"/>
          <w:highlight w:val="none"/>
        </w:rPr>
        <w:t>四、授权期限</w:t>
      </w:r>
    </w:p>
    <w:p w14:paraId="6F4AF086">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仿宋_GB2312" w:cs="仿宋_GB2312"/>
          <w:color w:val="000000"/>
          <w:spacing w:val="0"/>
          <w:position w:val="0"/>
          <w:sz w:val="31"/>
          <w:szCs w:val="31"/>
          <w:highlight w:val="none"/>
          <w:lang w:eastAsia="zh-CN"/>
        </w:rPr>
        <w:t>公司</w:t>
      </w:r>
      <w:r>
        <w:rPr>
          <w:rFonts w:hint="eastAsia" w:ascii="仿宋_GB2312" w:eastAsia="仿宋_GB2312" w:cs="仿宋_GB2312"/>
          <w:color w:val="000000"/>
          <w:spacing w:val="0"/>
          <w:position w:val="0"/>
          <w:sz w:val="31"/>
          <w:szCs w:val="31"/>
          <w:highlight w:val="none"/>
        </w:rPr>
        <w:t>董事会授权期限原则上为</w:t>
      </w:r>
      <w:r>
        <w:rPr>
          <w:rFonts w:hint="default" w:ascii="Times New Roman" w:hAnsi="Times New Roman" w:cs="Times New Roman"/>
          <w:color w:val="000000"/>
          <w:spacing w:val="0"/>
          <w:position w:val="0"/>
          <w:sz w:val="31"/>
          <w:szCs w:val="31"/>
          <w:highlight w:val="none"/>
        </w:rPr>
        <w:t>1</w:t>
      </w:r>
      <w:r>
        <w:rPr>
          <w:rFonts w:hint="eastAsia" w:ascii="仿宋_GB2312" w:eastAsia="仿宋_GB2312" w:cs="仿宋_GB2312"/>
          <w:color w:val="000000"/>
          <w:spacing w:val="0"/>
          <w:position w:val="0"/>
          <w:sz w:val="31"/>
          <w:szCs w:val="31"/>
          <w:highlight w:val="none"/>
        </w:rPr>
        <w:t>年，从董事会审议通过授权事项之日起计算。</w:t>
      </w:r>
    </w:p>
    <w:p w14:paraId="1A210970">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黑体" w:hAnsi="宋体" w:eastAsia="黑体" w:cs="黑体"/>
          <w:color w:val="000000"/>
          <w:spacing w:val="0"/>
          <w:position w:val="0"/>
          <w:sz w:val="31"/>
          <w:szCs w:val="31"/>
          <w:highlight w:val="none"/>
        </w:rPr>
        <w:t>五、行权要求</w:t>
      </w:r>
    </w:p>
    <w:p w14:paraId="62D39CE1">
      <w:pPr>
        <w:pStyle w:val="7"/>
        <w:keepNext w:val="0"/>
        <w:keepLines w:val="0"/>
        <w:widowControl/>
        <w:suppressLineNumbers w:val="0"/>
        <w:spacing w:before="0" w:beforeAutospacing="0" w:after="0" w:afterAutospacing="0" w:line="560" w:lineRule="exact"/>
        <w:ind w:left="0" w:firstLine="620" w:firstLineChars="200"/>
        <w:contextualSpacing/>
        <w:jc w:val="left"/>
        <w:rPr>
          <w:highlight w:val="none"/>
        </w:rPr>
      </w:pPr>
      <w:r>
        <w:rPr>
          <w:rFonts w:hint="default" w:ascii="Times New Roman" w:hAnsi="Times New Roman" w:cs="Times New Roman"/>
          <w:color w:val="000000"/>
          <w:spacing w:val="0"/>
          <w:position w:val="0"/>
          <w:sz w:val="31"/>
          <w:szCs w:val="31"/>
          <w:highlight w:val="none"/>
        </w:rPr>
        <w:t>1.</w:t>
      </w:r>
      <w:r>
        <w:rPr>
          <w:rFonts w:hint="eastAsia" w:ascii="仿宋_GB2312" w:eastAsia="仿宋_GB2312" w:cs="仿宋_GB2312"/>
          <w:color w:val="000000"/>
          <w:spacing w:val="0"/>
          <w:position w:val="0"/>
          <w:sz w:val="31"/>
          <w:szCs w:val="31"/>
          <w:highlight w:val="none"/>
        </w:rPr>
        <w:t>被授权人应通过相应的集体决策程序（如总经理办公会等）行使授权。</w:t>
      </w:r>
    </w:p>
    <w:p w14:paraId="2E51F753">
      <w:pPr>
        <w:pStyle w:val="7"/>
        <w:keepNext w:val="0"/>
        <w:keepLines w:val="0"/>
        <w:widowControl/>
        <w:suppressLineNumbers w:val="0"/>
        <w:spacing w:before="0" w:beforeAutospacing="0" w:after="0" w:afterAutospacing="0" w:line="560" w:lineRule="exact"/>
        <w:ind w:left="0" w:firstLine="620" w:firstLineChars="200"/>
        <w:contextualSpacing/>
        <w:jc w:val="left"/>
        <w:rPr>
          <w:highlight w:val="none"/>
        </w:rPr>
      </w:pPr>
      <w:r>
        <w:rPr>
          <w:rFonts w:hint="default" w:ascii="Times New Roman" w:hAnsi="Times New Roman" w:cs="Times New Roman"/>
          <w:color w:val="000000"/>
          <w:spacing w:val="0"/>
          <w:position w:val="0"/>
          <w:sz w:val="31"/>
          <w:szCs w:val="31"/>
          <w:highlight w:val="none"/>
        </w:rPr>
        <w:t>2.</w:t>
      </w:r>
      <w:r>
        <w:rPr>
          <w:rFonts w:hint="eastAsia" w:ascii="仿宋_GB2312" w:eastAsia="仿宋_GB2312" w:cs="仿宋_GB2312"/>
          <w:color w:val="000000"/>
          <w:spacing w:val="0"/>
          <w:position w:val="0"/>
          <w:sz w:val="31"/>
          <w:szCs w:val="31"/>
          <w:highlight w:val="none"/>
        </w:rPr>
        <w:t>对须经</w:t>
      </w:r>
      <w:r>
        <w:rPr>
          <w:rFonts w:hint="eastAsia" w:ascii="仿宋_GB2312" w:cs="仿宋_GB2312"/>
          <w:color w:val="000000"/>
          <w:spacing w:val="0"/>
          <w:position w:val="0"/>
          <w:sz w:val="31"/>
          <w:szCs w:val="31"/>
          <w:highlight w:val="none"/>
          <w:lang w:val="en-US" w:eastAsia="zh-CN"/>
        </w:rPr>
        <w:t>支委</w:t>
      </w:r>
      <w:r>
        <w:rPr>
          <w:rFonts w:hint="eastAsia" w:ascii="仿宋_GB2312" w:eastAsia="仿宋_GB2312" w:cs="仿宋_GB2312"/>
          <w:color w:val="000000"/>
          <w:spacing w:val="0"/>
          <w:position w:val="0"/>
          <w:sz w:val="31"/>
          <w:szCs w:val="31"/>
          <w:highlight w:val="none"/>
        </w:rPr>
        <w:t>会前置研究讨论的事项，需经</w:t>
      </w:r>
      <w:r>
        <w:rPr>
          <w:rFonts w:hint="eastAsia" w:ascii="仿宋_GB2312" w:cs="仿宋_GB2312"/>
          <w:color w:val="000000"/>
          <w:spacing w:val="0"/>
          <w:position w:val="0"/>
          <w:sz w:val="31"/>
          <w:szCs w:val="31"/>
          <w:highlight w:val="none"/>
          <w:lang w:val="en-US" w:eastAsia="zh-CN"/>
        </w:rPr>
        <w:t>支委</w:t>
      </w:r>
      <w:r>
        <w:rPr>
          <w:rFonts w:hint="eastAsia" w:ascii="仿宋_GB2312" w:eastAsia="仿宋_GB2312" w:cs="仿宋_GB2312"/>
          <w:color w:val="000000"/>
          <w:spacing w:val="0"/>
          <w:position w:val="0"/>
          <w:sz w:val="31"/>
          <w:szCs w:val="31"/>
          <w:highlight w:val="none"/>
        </w:rPr>
        <w:t>会研究同意后，方能提交相应决策会议。</w:t>
      </w:r>
    </w:p>
    <w:p w14:paraId="16F3B8C8">
      <w:pPr>
        <w:pStyle w:val="7"/>
        <w:keepNext w:val="0"/>
        <w:keepLines w:val="0"/>
        <w:widowControl/>
        <w:suppressLineNumbers w:val="0"/>
        <w:spacing w:before="0" w:beforeAutospacing="0" w:after="0" w:afterAutospacing="0" w:line="560" w:lineRule="exact"/>
        <w:ind w:left="0" w:firstLine="620" w:firstLineChars="200"/>
        <w:contextualSpacing/>
        <w:jc w:val="left"/>
        <w:rPr>
          <w:highlight w:val="none"/>
        </w:rPr>
      </w:pPr>
      <w:r>
        <w:rPr>
          <w:rFonts w:hint="default" w:ascii="Times New Roman" w:hAnsi="Times New Roman" w:cs="Times New Roman"/>
          <w:color w:val="000000"/>
          <w:spacing w:val="0"/>
          <w:position w:val="0"/>
          <w:sz w:val="31"/>
          <w:szCs w:val="31"/>
          <w:highlight w:val="none"/>
        </w:rPr>
        <w:t>3.</w:t>
      </w:r>
      <w:r>
        <w:rPr>
          <w:rFonts w:hint="eastAsia" w:ascii="仿宋_GB2312" w:eastAsia="仿宋_GB2312" w:cs="仿宋_GB2312"/>
          <w:color w:val="000000"/>
          <w:spacing w:val="0"/>
          <w:position w:val="0"/>
          <w:sz w:val="31"/>
          <w:szCs w:val="31"/>
          <w:highlight w:val="none"/>
        </w:rPr>
        <w:t>涉及公司职工切身利益的重大事项，应当听取公司职工代表大会或工会的相关意见或建议。</w:t>
      </w:r>
    </w:p>
    <w:p w14:paraId="4FEF5DC6">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黑体" w:hAnsi="宋体" w:eastAsia="黑体" w:cs="黑体"/>
          <w:color w:val="000000"/>
          <w:spacing w:val="0"/>
          <w:position w:val="0"/>
          <w:sz w:val="31"/>
          <w:szCs w:val="31"/>
          <w:highlight w:val="none"/>
        </w:rPr>
        <w:t>六、授权变更与终止</w:t>
      </w:r>
    </w:p>
    <w:p w14:paraId="5200A215">
      <w:pPr>
        <w:pStyle w:val="7"/>
        <w:keepNext w:val="0"/>
        <w:keepLines w:val="0"/>
        <w:widowControl/>
        <w:suppressLineNumbers w:val="0"/>
        <w:spacing w:before="0" w:beforeAutospacing="0" w:after="0" w:afterAutospacing="0" w:line="560" w:lineRule="exact"/>
        <w:ind w:left="0" w:firstLine="620" w:firstLineChars="200"/>
        <w:contextualSpacing/>
        <w:jc w:val="left"/>
        <w:rPr>
          <w:highlight w:val="none"/>
        </w:rPr>
      </w:pPr>
      <w:r>
        <w:rPr>
          <w:rFonts w:hint="default" w:ascii="Times New Roman" w:hAnsi="Times New Roman" w:cs="Times New Roman"/>
          <w:color w:val="000000"/>
          <w:spacing w:val="0"/>
          <w:position w:val="0"/>
          <w:sz w:val="31"/>
          <w:szCs w:val="31"/>
          <w:highlight w:val="none"/>
        </w:rPr>
        <w:t>1.</w:t>
      </w:r>
      <w:r>
        <w:rPr>
          <w:rFonts w:hint="eastAsia" w:ascii="仿宋_GB2312" w:eastAsia="仿宋_GB2312" w:cs="仿宋_GB2312"/>
          <w:color w:val="000000"/>
          <w:spacing w:val="0"/>
          <w:position w:val="0"/>
          <w:sz w:val="31"/>
          <w:szCs w:val="31"/>
          <w:highlight w:val="none"/>
        </w:rPr>
        <w:t>董事会可根据公司经营管理实际、风险控制能力等条件变化，对本授权方案进行调整。</w:t>
      </w:r>
    </w:p>
    <w:p w14:paraId="20142755">
      <w:pPr>
        <w:pStyle w:val="7"/>
        <w:keepNext w:val="0"/>
        <w:keepLines w:val="0"/>
        <w:widowControl/>
        <w:suppressLineNumbers w:val="0"/>
        <w:spacing w:before="0" w:beforeAutospacing="0" w:after="0" w:afterAutospacing="0" w:line="560" w:lineRule="exact"/>
        <w:ind w:left="0" w:firstLine="620" w:firstLineChars="200"/>
        <w:contextualSpacing/>
        <w:jc w:val="left"/>
        <w:rPr>
          <w:highlight w:val="none"/>
        </w:rPr>
      </w:pPr>
      <w:r>
        <w:rPr>
          <w:rFonts w:hint="default" w:ascii="Times New Roman" w:hAnsi="Times New Roman" w:cs="Times New Roman"/>
          <w:color w:val="000000"/>
          <w:spacing w:val="0"/>
          <w:position w:val="0"/>
          <w:sz w:val="31"/>
          <w:szCs w:val="31"/>
          <w:highlight w:val="none"/>
        </w:rPr>
        <w:t>2.</w:t>
      </w:r>
      <w:r>
        <w:rPr>
          <w:rFonts w:hint="eastAsia" w:ascii="仿宋_GB2312" w:eastAsia="仿宋_GB2312" w:cs="仿宋_GB2312"/>
          <w:color w:val="000000"/>
          <w:spacing w:val="0"/>
          <w:position w:val="0"/>
          <w:sz w:val="31"/>
          <w:szCs w:val="31"/>
          <w:highlight w:val="none"/>
        </w:rPr>
        <w:t>被授权人可建议董事会收回或部分收回已授予的权限。如遇到特殊情况需对授权事项决策做出重大调整，或因外部环境出现重大变化不能执行的，应当及时向董事会报告。</w:t>
      </w:r>
    </w:p>
    <w:p w14:paraId="78ECE8B9">
      <w:pPr>
        <w:pStyle w:val="7"/>
        <w:keepNext w:val="0"/>
        <w:keepLines w:val="0"/>
        <w:widowControl/>
        <w:suppressLineNumbers w:val="0"/>
        <w:spacing w:before="0" w:beforeAutospacing="0" w:after="0" w:afterAutospacing="0" w:line="560" w:lineRule="exact"/>
        <w:ind w:left="0" w:firstLine="620" w:firstLineChars="200"/>
        <w:contextualSpacing/>
        <w:jc w:val="left"/>
        <w:rPr>
          <w:highlight w:val="none"/>
        </w:rPr>
      </w:pPr>
      <w:r>
        <w:rPr>
          <w:rFonts w:hint="default" w:ascii="Times New Roman" w:hAnsi="Times New Roman" w:cs="Times New Roman"/>
          <w:color w:val="000000"/>
          <w:spacing w:val="0"/>
          <w:position w:val="0"/>
          <w:sz w:val="31"/>
          <w:szCs w:val="31"/>
          <w:highlight w:val="none"/>
        </w:rPr>
        <w:t>3.</w:t>
      </w:r>
      <w:r>
        <w:rPr>
          <w:rFonts w:hint="eastAsia" w:ascii="仿宋_GB2312" w:eastAsia="仿宋_GB2312" w:cs="仿宋_GB2312"/>
          <w:color w:val="000000"/>
          <w:spacing w:val="0"/>
          <w:position w:val="0"/>
          <w:sz w:val="31"/>
          <w:szCs w:val="31"/>
          <w:highlight w:val="none"/>
        </w:rPr>
        <w:t>授权期限届满，本授权方案自动终止，应制定新的授权方案报董事会审议。</w:t>
      </w:r>
    </w:p>
    <w:p w14:paraId="718C045C">
      <w:pPr>
        <w:pStyle w:val="7"/>
        <w:keepNext w:val="0"/>
        <w:keepLines w:val="0"/>
        <w:widowControl/>
        <w:suppressLineNumbers w:val="0"/>
        <w:spacing w:beforeAutospacing="0" w:afterAutospacing="0" w:line="560" w:lineRule="exact"/>
        <w:ind w:left="0" w:firstLine="620" w:firstLineChars="200"/>
        <w:jc w:val="left"/>
        <w:textAlignment w:val="center"/>
        <w:rPr>
          <w:highlight w:val="none"/>
        </w:rPr>
      </w:pPr>
      <w:r>
        <w:rPr>
          <w:rFonts w:hint="eastAsia" w:ascii="黑体" w:hAnsi="宋体" w:eastAsia="黑体" w:cs="黑体"/>
          <w:color w:val="000000"/>
          <w:spacing w:val="0"/>
          <w:position w:val="0"/>
          <w:sz w:val="31"/>
          <w:szCs w:val="31"/>
          <w:highlight w:val="none"/>
        </w:rPr>
        <w:t>七、授权报告与监督</w:t>
      </w:r>
    </w:p>
    <w:p w14:paraId="115BC34C">
      <w:pPr>
        <w:pStyle w:val="7"/>
        <w:keepNext w:val="0"/>
        <w:keepLines w:val="0"/>
        <w:widowControl/>
        <w:suppressLineNumbers w:val="0"/>
        <w:spacing w:beforeAutospacing="0" w:afterAutospacing="0" w:line="560" w:lineRule="exact"/>
        <w:ind w:left="0" w:firstLine="620" w:firstLineChars="200"/>
        <w:jc w:val="left"/>
        <w:textAlignment w:val="center"/>
        <w:rPr>
          <w:sz w:val="28"/>
          <w:szCs w:val="22"/>
          <w:highlight w:val="none"/>
          <w:lang w:val="en-US" w:eastAsia="zh-CN"/>
        </w:rPr>
      </w:pPr>
      <w:r>
        <w:rPr>
          <w:rFonts w:hint="eastAsia" w:ascii="仿宋_GB2312" w:eastAsia="仿宋_GB2312" w:cs="仿宋_GB2312"/>
          <w:color w:val="000000"/>
          <w:spacing w:val="0"/>
          <w:position w:val="0"/>
          <w:sz w:val="31"/>
          <w:szCs w:val="31"/>
          <w:highlight w:val="none"/>
        </w:rPr>
        <w:t>建立授权对象向董事会报告工作机制。授权对象行使授权事项应当接受董事会的监督，至少每半年向董事会报告授权行权情况，重要情况及时报告。董事会每年至少听取一次授权对象报告。</w:t>
      </w:r>
    </w:p>
    <w:sectPr>
      <w:footerReference r:id="rId3" w:type="default"/>
      <w:pgSz w:w="11906" w:h="16838"/>
      <w:pgMar w:top="1587" w:right="2098" w:bottom="1474" w:left="198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A0308">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1DB954">
                          <w:pPr>
                            <w:pStyle w:val="5"/>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41DB954">
                    <w:pPr>
                      <w:pStyle w:val="5"/>
                    </w:pPr>
                    <w:r>
                      <w:fldChar w:fldCharType="begin"/>
                    </w:r>
                    <w:r>
                      <w:instrText xml:space="preserve"> PAGE  \* MERGEFORMAT </w:instrText>
                    </w:r>
                    <w:r>
                      <w:fldChar w:fldCharType="separate"/>
                    </w:r>
                    <w:r>
                      <w:t>11</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B9FFA">
                          <w:pPr>
                            <w:rPr>
                              <w:rFonts w:hint="eastAsia"/>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109B9FFA">
                    <w:pPr>
                      <w:rPr>
                        <w:rFonts w:hint="eastAsia"/>
                        <w:lang w:eastAsia="zh-CN"/>
                      </w:rPr>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DD30B8"/>
    <w:rsid w:val="00901289"/>
    <w:rsid w:val="06BC2001"/>
    <w:rsid w:val="153C6A32"/>
    <w:rsid w:val="1AB16745"/>
    <w:rsid w:val="1C225D7B"/>
    <w:rsid w:val="1C584ED1"/>
    <w:rsid w:val="26D20FF7"/>
    <w:rsid w:val="36DD30B8"/>
    <w:rsid w:val="37DD2F64"/>
    <w:rsid w:val="39C04F27"/>
    <w:rsid w:val="3B3D6CE7"/>
    <w:rsid w:val="3DE97779"/>
    <w:rsid w:val="42256478"/>
    <w:rsid w:val="586278E2"/>
    <w:rsid w:val="5AB238F5"/>
    <w:rsid w:val="5C033168"/>
    <w:rsid w:val="648A32F1"/>
    <w:rsid w:val="71221CE6"/>
    <w:rsid w:val="75BF82D4"/>
    <w:rsid w:val="777E32C1"/>
    <w:rsid w:val="7BF7A43F"/>
    <w:rsid w:val="7D8C1CD9"/>
    <w:rsid w:val="9FB78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4">
    <w:name w:val="heading 1"/>
    <w:basedOn w:val="1"/>
    <w:next w:val="1"/>
    <w:qFormat/>
    <w:uiPriority w:val="1"/>
    <w:pPr>
      <w:ind w:left="250" w:right="415"/>
      <w:jc w:val="center"/>
      <w:outlineLvl w:val="1"/>
    </w:pPr>
    <w:rPr>
      <w:rFonts w:ascii="小标宋" w:hAnsi="小标宋" w:eastAsia="小标宋" w:cs="小标宋"/>
      <w:sz w:val="44"/>
      <w:szCs w:val="44"/>
      <w:lang w:val="zh-CN" w:eastAsia="zh-CN" w:bidi="zh-CN"/>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Normal Indent"/>
    <w:basedOn w:val="1"/>
    <w:next w:val="3"/>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1"/>
    <w:unhideWhenUsed/>
    <w:qFormat/>
    <w:uiPriority w:val="99"/>
    <w:pPr>
      <w:widowControl/>
      <w:spacing w:after="120"/>
      <w:jc w:val="left"/>
    </w:pPr>
    <w:rPr>
      <w:kern w:val="0"/>
      <w:sz w:val="20"/>
      <w:szCs w:val="20"/>
    </w:rPr>
  </w:style>
  <w:style w:type="paragraph" w:styleId="5">
    <w:name w:val="footer"/>
    <w:basedOn w:val="1"/>
    <w:unhideWhenUsed/>
    <w:qFormat/>
    <w:uiPriority w:val="0"/>
    <w:pPr>
      <w:widowControl/>
      <w:tabs>
        <w:tab w:val="center" w:pos="4153"/>
        <w:tab w:val="right" w:pos="8306"/>
      </w:tabs>
      <w:snapToGrid w:val="0"/>
      <w:jc w:val="left"/>
    </w:pPr>
    <w:rPr>
      <w:kern w:val="0"/>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0">
    <w:name w:val="font61"/>
    <w:basedOn w:val="9"/>
    <w:qFormat/>
    <w:uiPriority w:val="0"/>
    <w:rPr>
      <w:rFonts w:hint="eastAsia" w:ascii="仿宋_GB2312" w:eastAsia="仿宋_GB2312" w:cs="仿宋_GB2312"/>
      <w:color w:val="FF0000"/>
      <w:sz w:val="20"/>
      <w:szCs w:val="20"/>
      <w:u w:val="none"/>
    </w:rPr>
  </w:style>
  <w:style w:type="character" w:customStyle="1" w:styleId="11">
    <w:name w:val="font51"/>
    <w:basedOn w:val="9"/>
    <w:qFormat/>
    <w:uiPriority w:val="0"/>
    <w:rPr>
      <w:rFonts w:hint="eastAsia" w:ascii="仿宋_GB2312" w:eastAsia="仿宋_GB2312" w:cs="仿宋_GB2312"/>
      <w:color w:val="000000"/>
      <w:sz w:val="20"/>
      <w:szCs w:val="20"/>
      <w:u w:val="none"/>
    </w:rPr>
  </w:style>
  <w:style w:type="character" w:customStyle="1" w:styleId="12">
    <w:name w:val="font41"/>
    <w:basedOn w:val="9"/>
    <w:qFormat/>
    <w:uiPriority w:val="0"/>
    <w:rPr>
      <w:rFonts w:hint="eastAsia" w:ascii="仿宋_GB2312" w:eastAsia="仿宋_GB2312" w:cs="仿宋_GB2312"/>
      <w:color w:val="000000"/>
      <w:sz w:val="20"/>
      <w:szCs w:val="20"/>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3358</Words>
  <Characters>3370</Characters>
  <Lines>0</Lines>
  <Paragraphs>0</Paragraphs>
  <TotalTime>37</TotalTime>
  <ScaleCrop>false</ScaleCrop>
  <LinksUpToDate>false</LinksUpToDate>
  <CharactersWithSpaces>3434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2024-12-13T01:24:00Z</dcterms:created>
  <dc:creator>任丽娟</dc:creator>
  <cp:lastModifiedBy>沈涌</cp:lastModifiedBy>
  <dcterms:modified xsi:type="dcterms:W3CDTF">2026-07-13T07:42:49Z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37C69701071ACF6E0D602A6ADCAF3982_43</vt:lpwstr>
  </property>
  <property fmtid="{D5CDD505-2E9C-101B-9397-08002B2CF9AE}" pid="4" name="KSOTemplateDocerSaveRecord">
    <vt:lpwstr>eyJoZGlkIjoiYWYxZjUyZDlmNWE3ZTZmYjQ4ZmY5YWE2YTIzYjY1ZGQiLCJ1c2VySWQiOiIxMTU5OTEwNDAwIn0=</vt:lpwstr>
  </property>
</Properties>
</file>