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小标宋" w:hAnsi="小标宋" w:eastAsia="小标宋" w:cs="小标宋"/>
          <w:color w:val="auto"/>
          <w:sz w:val="44"/>
          <w:szCs w:val="44"/>
          <w:u w:val="none"/>
          <w:lang w:eastAsia="zh-CN"/>
        </w:rPr>
      </w:pPr>
      <w:r>
        <w:rPr>
          <w:rFonts w:hint="eastAsia" w:ascii="小标宋" w:hAnsi="小标宋" w:eastAsia="小标宋" w:cs="小标宋"/>
          <w:color w:val="auto"/>
          <w:sz w:val="44"/>
          <w:szCs w:val="44"/>
          <w:u w:val="none"/>
        </w:rPr>
        <w:t>公文管理办法</w:t>
      </w:r>
      <w:r>
        <w:rPr>
          <w:rFonts w:hint="eastAsia" w:ascii="小标宋" w:hAnsi="小标宋" w:eastAsia="小标宋" w:cs="小标宋"/>
          <w:color w:val="auto"/>
          <w:sz w:val="44"/>
          <w:szCs w:val="44"/>
          <w:u w:val="none"/>
          <w:lang w:eastAsia="zh-CN"/>
        </w:rPr>
        <w:t>（试行）</w:t>
      </w:r>
    </w:p>
    <w:p>
      <w:pPr>
        <w:rPr>
          <w:color w:val="auto"/>
          <w:sz w:val="32"/>
          <w:szCs w:val="32"/>
          <w:u w:val="none"/>
        </w:rPr>
      </w:pPr>
    </w:p>
    <w:p>
      <w:pPr>
        <w:spacing w:line="560" w:lineRule="exact"/>
        <w:ind w:firstLine="640" w:firstLineChars="200"/>
        <w:rPr>
          <w:rFonts w:ascii="黑体" w:hAnsi="黑体" w:eastAsia="黑体" w:cs="黑体"/>
          <w:bCs/>
          <w:color w:val="auto"/>
          <w:sz w:val="32"/>
          <w:szCs w:val="32"/>
          <w:u w:val="none"/>
        </w:rPr>
      </w:pPr>
      <w:r>
        <w:rPr>
          <w:rFonts w:hint="eastAsia" w:ascii="黑体" w:hAnsi="黑体" w:eastAsia="黑体" w:cs="黑体"/>
          <w:bCs/>
          <w:color w:val="auto"/>
          <w:sz w:val="32"/>
          <w:szCs w:val="32"/>
          <w:u w:val="none"/>
        </w:rPr>
        <w:t>第一章  总则</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（一）为了使公司公文处理工作进一步规范化，提高办文质量和办文效率，根据</w:t>
      </w:r>
      <w:bookmarkStart w:id="0" w:name="_GoBack"/>
      <w:bookmarkEnd w:id="0"/>
      <w:r>
        <w:rPr>
          <w:rFonts w:hint="eastAsia" w:ascii="仿宋_GB2312" w:hAnsi="仿宋_GB2312" w:eastAsia="仿宋_GB2312" w:cs="仿宋_GB2312"/>
          <w:color w:val="auto"/>
          <w:sz w:val="32"/>
          <w:szCs w:val="32"/>
          <w:u w:val="none"/>
        </w:rPr>
        <w:t>有关规定，结合公司实际，特制订本办法。</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二）公司名义印发的公文（以下简称“公司文件”），是公司在行政和经营管理过程中形成的具有法定效力和规范体式的公务文书，是传达贯彻党和国家的方针政策、请示和答复问题、报告情况、交流经验、指导和商洽工作，进行公务活动的重要工具。</w:t>
      </w:r>
    </w:p>
    <w:p>
      <w:pPr>
        <w:spacing w:line="560" w:lineRule="exact"/>
        <w:ind w:firstLine="640" w:firstLineChars="200"/>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（三）公司</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办公室是公司公文处理的归口职能部门，负责处理公司各部门的公文管理工作。</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（四）公文处理工作必须做到及时、准确、高效，同时遵守保密制度。</w:t>
      </w:r>
    </w:p>
    <w:p>
      <w:pPr>
        <w:spacing w:line="560" w:lineRule="exact"/>
        <w:ind w:firstLine="640" w:firstLineChars="200"/>
        <w:rPr>
          <w:rFonts w:ascii="黑体" w:hAnsi="黑体" w:eastAsia="黑体" w:cs="黑体"/>
          <w:bCs/>
          <w:color w:val="auto"/>
          <w:sz w:val="32"/>
          <w:szCs w:val="32"/>
          <w:u w:val="none"/>
        </w:rPr>
      </w:pPr>
      <w:r>
        <w:rPr>
          <w:rFonts w:hint="eastAsia" w:ascii="黑体" w:hAnsi="黑体" w:eastAsia="黑体" w:cs="黑体"/>
          <w:bCs/>
          <w:color w:val="auto"/>
          <w:sz w:val="32"/>
          <w:szCs w:val="32"/>
          <w:u w:val="none"/>
        </w:rPr>
        <w:t>第二章  公文种类</w:t>
      </w:r>
    </w:p>
    <w:p>
      <w:pPr>
        <w:spacing w:line="560" w:lineRule="exact"/>
        <w:ind w:firstLine="640" w:firstLineChars="200"/>
        <w:rPr>
          <w:rFonts w:ascii="楷体_GB2312" w:hAnsi="楷体_GB2312" w:eastAsia="楷体_GB2312" w:cs="楷体_GB2312"/>
          <w:color w:val="auto"/>
          <w:sz w:val="32"/>
          <w:szCs w:val="32"/>
          <w:u w:val="none"/>
        </w:rPr>
      </w:pPr>
      <w:r>
        <w:rPr>
          <w:rFonts w:hint="eastAsia" w:ascii="楷体_GB2312" w:hAnsi="楷体_GB2312" w:eastAsia="楷体_GB2312" w:cs="楷体_GB2312"/>
          <w:bCs/>
          <w:color w:val="auto"/>
          <w:sz w:val="32"/>
          <w:szCs w:val="32"/>
          <w:u w:val="none"/>
        </w:rPr>
        <w:t>（一）</w:t>
      </w:r>
      <w:r>
        <w:rPr>
          <w:rFonts w:hint="eastAsia" w:ascii="楷体_GB2312" w:hAnsi="楷体_GB2312" w:eastAsia="楷体_GB2312" w:cs="楷体_GB2312"/>
          <w:color w:val="auto"/>
          <w:sz w:val="32"/>
          <w:szCs w:val="32"/>
          <w:u w:val="none"/>
        </w:rPr>
        <w:t>公司正式行文应当使用下列公文种类</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1、决定。适用于对某些问题或者重大行动作出安排，奖惩有关单位及人员，变更或者撤销下级部门、单位不适当的决定事项。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2、决议。适用于经过会议讨论通过，要求贯彻执行的事项。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3、公告。适用于向外宣布的重大事件。</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4、通告。适用于在一定范围内公布应当遵守或周知的事件。</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5、通知。适用于传达上级指示，要求下级办理或者需要知道的事项，批转下级的公文或转发上级、同级和不相隶属单位的公文，任免人员。</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6、通报。适用于表扬好人好事，批评错误，传达重要情况以及各单位知道的事项。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7、报告。适用于向上级单位汇报工作，反映情况，答复上级单位的询问。</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8、请示。适用于向上级请求指示、批准事项。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9、批复。适用于答复下级单位的请示事项。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10、意见。适用于对重要问题提出见解和处理办法。</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11、函。适用于平行的或不相隶属的单位之间互相商洽工作，询问和答复问题，请求批准和答复审批事项。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12、会议纪要。适用于记载、传达会议情况和议定事项。</w:t>
      </w:r>
    </w:p>
    <w:p>
      <w:pPr>
        <w:spacing w:line="560" w:lineRule="exact"/>
        <w:ind w:firstLine="640" w:firstLineChars="200"/>
        <w:rPr>
          <w:rFonts w:ascii="黑体" w:hAnsi="黑体" w:eastAsia="黑体" w:cs="黑体"/>
          <w:bCs/>
          <w:color w:val="auto"/>
          <w:sz w:val="32"/>
          <w:szCs w:val="32"/>
          <w:u w:val="none"/>
        </w:rPr>
      </w:pPr>
      <w:r>
        <w:rPr>
          <w:rFonts w:hint="eastAsia" w:ascii="黑体" w:hAnsi="黑体" w:eastAsia="黑体" w:cs="黑体"/>
          <w:bCs/>
          <w:color w:val="auto"/>
          <w:sz w:val="32"/>
          <w:szCs w:val="32"/>
          <w:u w:val="none"/>
        </w:rPr>
        <w:t>第三章  公文格式</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 xml:space="preserve"> 公文格式一般包括：份号、密级和保密期限、紧急程度、发文机关标志、发文字号、签发人、标题、主送机关、正文、附件说明、发文机关署名、成文日期、印章、附注、附件、抄送机关、印发机关和印发日期、页码等。</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公文版式按照《杭州市交通投资集团有限公司文件格式细则》执行。</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公文使用的汉字、数字、外文字符、计量单位和标点符号，按照有关国家标准和规定执行。</w:t>
      </w:r>
    </w:p>
    <w:p>
      <w:pPr>
        <w:spacing w:line="560" w:lineRule="exact"/>
        <w:ind w:firstLine="640" w:firstLineChars="200"/>
        <w:rPr>
          <w:rFonts w:ascii="黑体" w:hAnsi="黑体" w:eastAsia="黑体" w:cs="黑体"/>
          <w:bCs/>
          <w:color w:val="auto"/>
          <w:sz w:val="32"/>
          <w:szCs w:val="32"/>
          <w:u w:val="none"/>
        </w:rPr>
      </w:pPr>
      <w:r>
        <w:rPr>
          <w:rFonts w:hint="eastAsia" w:ascii="黑体" w:hAnsi="黑体" w:eastAsia="黑体" w:cs="黑体"/>
          <w:bCs/>
          <w:color w:val="auto"/>
          <w:sz w:val="32"/>
          <w:szCs w:val="32"/>
          <w:u w:val="none"/>
        </w:rPr>
        <w:t>第四章  行文规则</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（一）行文应当确有必要，讲究实效，注重针对性和可操作性。</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（二）公文应根据隶属关系和职权范围确定主送和抄送单位。</w:t>
      </w:r>
    </w:p>
    <w:p>
      <w:pPr>
        <w:spacing w:line="560" w:lineRule="exact"/>
        <w:ind w:firstLine="633" w:firstLineChars="198"/>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（三）不得越级行文，也不要同时主送几个上级机关；因特殊情况必须越级行文时，应当同时抄送被越过的上级单位。</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（四）上报公文，要严格区分“请示”和“报告”。“请示”应当一文一事，一般不直接送领导个人（除领导直接交办的外）；要求上级单位批复的事项，应在“请示”中明确提出。“报告”不带请示事项。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（五）主送公司的“请示”和“报告”，应当报送电子公文和纸质公文各一份；公司上报</w:t>
      </w:r>
      <w:r>
        <w:rPr>
          <w:rFonts w:hint="eastAsia" w:ascii="仿宋_GB2312" w:hAnsi="仿宋_GB2312" w:eastAsia="仿宋_GB2312" w:cs="仿宋_GB2312"/>
          <w:color w:val="auto"/>
          <w:sz w:val="32"/>
          <w:szCs w:val="32"/>
          <w:u w:val="none"/>
          <w:lang w:eastAsia="zh-CN"/>
        </w:rPr>
        <w:t>资产管理</w:t>
      </w:r>
      <w:r>
        <w:rPr>
          <w:rFonts w:hint="eastAsia" w:ascii="仿宋_GB2312" w:hAnsi="仿宋_GB2312" w:eastAsia="仿宋_GB2312" w:cs="仿宋_GB2312"/>
          <w:color w:val="auto"/>
          <w:sz w:val="32"/>
          <w:szCs w:val="32"/>
          <w:u w:val="none"/>
        </w:rPr>
        <w:t>公司的“请示”和“报告”或抄送的文件，应当同时报送电子公文和纸质公文，</w:t>
      </w:r>
      <w:r>
        <w:rPr>
          <w:rFonts w:hint="eastAsia" w:ascii="仿宋_GB2312" w:hAnsi="仿宋_GB2312" w:eastAsia="仿宋_GB2312" w:cs="仿宋_GB2312"/>
          <w:color w:val="auto"/>
          <w:sz w:val="32"/>
          <w:szCs w:val="32"/>
          <w:u w:val="none"/>
          <w:lang w:eastAsia="zh-CN"/>
        </w:rPr>
        <w:t>电子公文发送至资产管理公司相关人员，</w:t>
      </w:r>
      <w:r>
        <w:rPr>
          <w:rFonts w:hint="eastAsia" w:ascii="仿宋_GB2312" w:hAnsi="仿宋_GB2312" w:eastAsia="仿宋_GB2312" w:cs="仿宋_GB2312"/>
          <w:color w:val="auto"/>
          <w:sz w:val="32"/>
          <w:szCs w:val="32"/>
          <w:u w:val="none"/>
        </w:rPr>
        <w:t>纸质公文应在成文日期2个工作日内送达</w:t>
      </w:r>
      <w:r>
        <w:rPr>
          <w:rFonts w:hint="eastAsia" w:ascii="仿宋_GB2312" w:hAnsi="仿宋_GB2312" w:eastAsia="仿宋_GB2312" w:cs="仿宋_GB2312"/>
          <w:color w:val="auto"/>
          <w:sz w:val="32"/>
          <w:szCs w:val="32"/>
          <w:u w:val="none"/>
          <w:lang w:eastAsia="zh-CN"/>
        </w:rPr>
        <w:t>资产管理</w:t>
      </w:r>
      <w:r>
        <w:rPr>
          <w:rFonts w:hint="eastAsia" w:ascii="仿宋_GB2312" w:hAnsi="仿宋_GB2312" w:eastAsia="仿宋_GB2312" w:cs="仿宋_GB2312"/>
          <w:color w:val="auto"/>
          <w:sz w:val="32"/>
          <w:szCs w:val="32"/>
          <w:u w:val="none"/>
        </w:rPr>
        <w:t>公司</w:t>
      </w:r>
      <w:r>
        <w:rPr>
          <w:rFonts w:hint="eastAsia" w:ascii="仿宋_GB2312" w:hAnsi="仿宋_GB2312" w:eastAsia="仿宋_GB2312" w:cs="仿宋_GB2312"/>
          <w:color w:val="auto"/>
          <w:sz w:val="32"/>
          <w:szCs w:val="32"/>
          <w:u w:val="none"/>
          <w:lang w:eastAsia="zh-CN"/>
        </w:rPr>
        <w:t>相关部室</w:t>
      </w:r>
      <w:r>
        <w:rPr>
          <w:rFonts w:hint="eastAsia" w:ascii="仿宋_GB2312" w:hAnsi="仿宋_GB2312" w:eastAsia="仿宋_GB2312" w:cs="仿宋_GB2312"/>
          <w:color w:val="auto"/>
          <w:sz w:val="32"/>
          <w:szCs w:val="32"/>
          <w:u w:val="none"/>
        </w:rPr>
        <w:t>。</w:t>
      </w:r>
    </w:p>
    <w:p>
      <w:pPr>
        <w:spacing w:line="560" w:lineRule="exact"/>
        <w:ind w:firstLine="640" w:firstLineChars="200"/>
        <w:rPr>
          <w:rFonts w:ascii="黑体" w:hAnsi="黑体" w:eastAsia="黑体" w:cs="黑体"/>
          <w:bCs/>
          <w:color w:val="auto"/>
          <w:sz w:val="32"/>
          <w:szCs w:val="32"/>
          <w:u w:val="none"/>
        </w:rPr>
      </w:pPr>
      <w:r>
        <w:rPr>
          <w:rFonts w:hint="eastAsia" w:ascii="黑体" w:hAnsi="黑体" w:eastAsia="黑体" w:cs="黑体"/>
          <w:bCs/>
          <w:color w:val="auto"/>
          <w:sz w:val="32"/>
          <w:szCs w:val="32"/>
          <w:u w:val="none"/>
        </w:rPr>
        <w:t>第五章  公文办理</w:t>
      </w:r>
    </w:p>
    <w:p>
      <w:pPr>
        <w:spacing w:line="560" w:lineRule="exact"/>
        <w:ind w:firstLine="640" w:firstLineChars="200"/>
        <w:rPr>
          <w:rFonts w:ascii="楷体_GB2312" w:hAnsi="楷体_GB2312" w:eastAsia="楷体_GB2312" w:cs="楷体_GB2312"/>
          <w:color w:val="auto"/>
          <w:sz w:val="32"/>
          <w:szCs w:val="32"/>
          <w:u w:val="none"/>
        </w:rPr>
      </w:pPr>
      <w:r>
        <w:rPr>
          <w:rFonts w:hint="eastAsia" w:ascii="楷体_GB2312" w:hAnsi="楷体_GB2312" w:eastAsia="楷体_GB2312" w:cs="楷体_GB2312"/>
          <w:color w:val="auto"/>
          <w:sz w:val="32"/>
          <w:szCs w:val="32"/>
          <w:u w:val="none"/>
        </w:rPr>
        <w:t>（一） 收文管理</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1、收文处理程序</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公司收文程序一般包括签收、登记、拟办、批办、交办、催办、归档等节点。</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2、签收、登记</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公司所有来文均由</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办公室统一签收、开拆、分类处理并进行收文登记。“请示”、“意见”确定为办件，“报告”确定为阅件。</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公司员工参加会议带回的或有关单位直接送公司专业部门的文件，原则上应交</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办公室进行收文登记后方可进入收文办理流程。</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公司各部门的来文由公司</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办公室工作人员进行收文审核，对不符合《国家行政机关公文处理办法》、本办法及公文格式细则的公文，由</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办公室退回呈报相关部门并说明退文理由。</w:t>
      </w:r>
    </w:p>
    <w:p>
      <w:pPr>
        <w:numPr>
          <w:ilvl w:val="0"/>
          <w:numId w:val="1"/>
        </w:num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拟办</w:t>
      </w:r>
    </w:p>
    <w:p>
      <w:pPr>
        <w:spacing w:line="560" w:lineRule="exact"/>
        <w:ind w:left="420" w:left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 xml:space="preserve"> 收文登记后，由办公室负责人进行文件拟办。</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4、交办</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办公室机要人员根据公司领导批示意见对公文进行交办；对交办件，各部门应在7个工作日内将有关意见连同交办件一并送回公司</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办公室；如</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办公室在交办件处理单上表明“急件”字样，则承办部门应在3个工作日内提出办理意见；如领导对紧急和重要公文有具体办理时限要求，按照商定或规定的期限办理。</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对传阅件，各部门应在2个工作日内传阅完毕。</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对于涉密公文，按保密规定严格传阅手续，实行签收管理，限期阅毕归还。</w:t>
      </w:r>
    </w:p>
    <w:p>
      <w:pPr>
        <w:spacing w:line="560" w:lineRule="exact"/>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 xml:space="preserve">     5、催办</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办公室对有领导批示的公文及上级单位有办理要求的文件，应做好催办工作。凡公司传阅的文件、资料，原则上在各部门停留2天，传阅签字后交回</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机要文件须按保密规定严格保管，杜绝遗失、泄密现象的发生。</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6、公司向</w:t>
      </w:r>
      <w:r>
        <w:rPr>
          <w:rFonts w:hint="eastAsia" w:ascii="仿宋_GB2312" w:hAnsi="仿宋_GB2312" w:eastAsia="仿宋_GB2312" w:cs="仿宋_GB2312"/>
          <w:color w:val="auto"/>
          <w:sz w:val="32"/>
          <w:szCs w:val="32"/>
          <w:u w:val="none"/>
          <w:lang w:eastAsia="zh-CN"/>
        </w:rPr>
        <w:t>资产管理</w:t>
      </w:r>
      <w:r>
        <w:rPr>
          <w:rFonts w:hint="eastAsia" w:ascii="仿宋_GB2312" w:hAnsi="仿宋_GB2312" w:eastAsia="仿宋_GB2312" w:cs="仿宋_GB2312"/>
          <w:color w:val="auto"/>
          <w:sz w:val="32"/>
          <w:szCs w:val="32"/>
          <w:u w:val="none"/>
        </w:rPr>
        <w:t>公司转报请示类公文，应至少提前10个工作日报送。特别紧急的事项需要在3个工作日内办理的，公司应当另附紧急原因和办文经过说明。</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7、公文办结后应及时反馈结果。答复请示事项，凡重大问题的必须行文，行文拟稿由主要承办部门发起；对一些单项性、事务性、内部性事项，可采用领导批示复印、电话告知等形式予以答复。</w:t>
      </w:r>
    </w:p>
    <w:p>
      <w:pPr>
        <w:spacing w:line="560" w:lineRule="exact"/>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 xml:space="preserve">   </w:t>
      </w:r>
      <w:r>
        <w:rPr>
          <w:rFonts w:hint="eastAsia" w:ascii="楷体_GB2312" w:hAnsi="楷体_GB2312" w:eastAsia="楷体_GB2312" w:cs="楷体_GB2312"/>
          <w:color w:val="auto"/>
          <w:sz w:val="32"/>
          <w:szCs w:val="32"/>
          <w:u w:val="none"/>
        </w:rPr>
        <w:t xml:space="preserve"> （二）发文管理</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1、发文机关</w:t>
      </w:r>
      <w:r>
        <w:rPr>
          <w:rFonts w:hint="eastAsia" w:ascii="仿宋_GB2312" w:hAnsi="仿宋_GB2312" w:eastAsia="仿宋_GB2312" w:cs="仿宋_GB2312"/>
          <w:color w:val="auto"/>
          <w:sz w:val="32"/>
          <w:szCs w:val="32"/>
          <w:u w:val="none"/>
          <w:lang w:val="en-US" w:eastAsia="zh-CN"/>
        </w:rPr>
        <w:t>标志</w:t>
      </w:r>
      <w:r>
        <w:rPr>
          <w:rFonts w:hint="eastAsia" w:ascii="仿宋_GB2312" w:hAnsi="仿宋_GB2312" w:eastAsia="仿宋_GB2312" w:cs="仿宋_GB2312"/>
          <w:color w:val="auto"/>
          <w:sz w:val="32"/>
          <w:szCs w:val="32"/>
          <w:u w:val="none"/>
        </w:rPr>
        <w:t>、发文文号、印章</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w:t>
      </w:r>
      <w:r>
        <w:rPr>
          <w:rFonts w:hint="eastAsia" w:ascii="仿宋_GB2312" w:hAnsi="仿宋_GB2312" w:eastAsia="仿宋_GB2312" w:cs="仿宋_GB2312"/>
          <w:color w:val="auto"/>
          <w:sz w:val="32"/>
          <w:szCs w:val="32"/>
          <w:u w:val="none"/>
          <w:lang w:eastAsia="zh-CN"/>
        </w:rPr>
        <w:t>杭州交投智慧交通产业发展有限公司</w:t>
      </w:r>
      <w:r>
        <w:rPr>
          <w:rFonts w:hint="eastAsia" w:ascii="仿宋_GB2312" w:hAnsi="仿宋_GB2312" w:eastAsia="仿宋_GB2312" w:cs="仿宋_GB2312"/>
          <w:color w:val="auto"/>
          <w:sz w:val="32"/>
          <w:szCs w:val="32"/>
          <w:u w:val="none"/>
        </w:rPr>
        <w:t>文件》适用于以公司名义制发的通知、通告、通报、报告、请示、批复、决定、决议、意见等文件，编“杭</w:t>
      </w:r>
      <w:r>
        <w:rPr>
          <w:rFonts w:hint="eastAsia" w:ascii="仿宋_GB2312" w:hAnsi="仿宋_GB2312" w:eastAsia="仿宋_GB2312" w:cs="仿宋_GB2312"/>
          <w:color w:val="auto"/>
          <w:sz w:val="32"/>
          <w:szCs w:val="32"/>
          <w:u w:val="none"/>
          <w:lang w:eastAsia="zh-CN"/>
        </w:rPr>
        <w:t>智慧</w:t>
      </w:r>
      <w:r>
        <w:rPr>
          <w:rFonts w:hint="eastAsia" w:ascii="仿宋_GB2312" w:hAnsi="仿宋_GB2312" w:eastAsia="仿宋_GB2312" w:cs="仿宋_GB2312"/>
          <w:color w:val="auto"/>
          <w:sz w:val="32"/>
          <w:szCs w:val="32"/>
          <w:u w:val="none"/>
        </w:rPr>
        <w:t>”文号，盖公司行政印章，同时适用于公司名义制发的函等文件，编“杭</w:t>
      </w:r>
      <w:r>
        <w:rPr>
          <w:rFonts w:hint="eastAsia" w:ascii="仿宋_GB2312" w:hAnsi="仿宋_GB2312" w:eastAsia="仿宋_GB2312" w:cs="仿宋_GB2312"/>
          <w:color w:val="auto"/>
          <w:sz w:val="32"/>
          <w:szCs w:val="32"/>
          <w:u w:val="none"/>
          <w:lang w:eastAsia="zh-CN"/>
        </w:rPr>
        <w:t>智慧</w:t>
      </w:r>
      <w:r>
        <w:rPr>
          <w:rFonts w:hint="eastAsia" w:ascii="仿宋_GB2312" w:hAnsi="仿宋_GB2312" w:eastAsia="仿宋_GB2312" w:cs="仿宋_GB2312"/>
          <w:color w:val="auto"/>
          <w:sz w:val="32"/>
          <w:szCs w:val="32"/>
          <w:u w:val="none"/>
        </w:rPr>
        <w:t>函”文号，均盖公司行政印章。以公司名义制发的会议纪要等文件，编“杭</w:t>
      </w:r>
      <w:r>
        <w:rPr>
          <w:rFonts w:hint="eastAsia" w:ascii="仿宋_GB2312" w:hAnsi="仿宋_GB2312" w:eastAsia="仿宋_GB2312" w:cs="仿宋_GB2312"/>
          <w:color w:val="auto"/>
          <w:sz w:val="32"/>
          <w:szCs w:val="32"/>
          <w:u w:val="none"/>
          <w:lang w:eastAsia="zh-CN"/>
        </w:rPr>
        <w:t>智慧</w:t>
      </w:r>
      <w:r>
        <w:rPr>
          <w:rFonts w:hint="eastAsia" w:ascii="仿宋_GB2312" w:hAnsi="仿宋_GB2312" w:eastAsia="仿宋_GB2312" w:cs="仿宋_GB2312"/>
          <w:color w:val="auto"/>
          <w:sz w:val="32"/>
          <w:szCs w:val="32"/>
          <w:u w:val="none"/>
        </w:rPr>
        <w:t>纪要”不盖公司行政印章：</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2、发文处理程序</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公司发文通过钉钉系统处理，流程包括拟稿、部门领导审核、会签、核稿、分管领导审核、总经理</w:t>
      </w:r>
      <w:r>
        <w:rPr>
          <w:rFonts w:hint="eastAsia" w:ascii="仿宋_GB2312" w:hAnsi="仿宋_GB2312" w:eastAsia="仿宋_GB2312" w:cs="仿宋_GB2312"/>
          <w:color w:val="auto"/>
          <w:sz w:val="32"/>
          <w:szCs w:val="32"/>
          <w:u w:val="none"/>
          <w:lang w:eastAsia="zh-CN"/>
        </w:rPr>
        <w:t>签发</w:t>
      </w:r>
      <w:r>
        <w:rPr>
          <w:rFonts w:hint="eastAsia" w:ascii="仿宋_GB2312" w:hAnsi="仿宋_GB2312" w:eastAsia="仿宋_GB2312" w:cs="仿宋_GB2312"/>
          <w:color w:val="auto"/>
          <w:sz w:val="32"/>
          <w:szCs w:val="32"/>
          <w:u w:val="none"/>
        </w:rPr>
        <w:t>、登记、校稿、缮印、用印、封发、归档等。</w:t>
      </w:r>
    </w:p>
    <w:p>
      <w:pPr>
        <w:ind w:firstLine="480" w:firstLineChars="150"/>
        <w:rPr>
          <w:rFonts w:ascii="仿宋_GB2312" w:eastAsia="仿宋_GB2312"/>
          <w:color w:val="auto"/>
          <w:sz w:val="32"/>
          <w:szCs w:val="32"/>
          <w:u w:val="none"/>
        </w:rPr>
      </w:pPr>
      <w:r>
        <w:rPr>
          <w:rFonts w:hint="eastAsia" w:ascii="仿宋_GB2312" w:hAnsi="仿宋_GB2312" w:eastAsia="仿宋_GB2312" w:cs="仿宋_GB2312"/>
          <w:color w:val="auto"/>
          <w:sz w:val="32"/>
          <w:szCs w:val="32"/>
          <w:u w:val="none"/>
        </w:rPr>
        <w:t>（1）</w:t>
      </w:r>
      <w:r>
        <w:rPr>
          <w:rFonts w:hint="eastAsia" w:ascii="仿宋_GB2312" w:eastAsia="仿宋_GB2312"/>
          <w:color w:val="auto"/>
          <w:sz w:val="32"/>
          <w:szCs w:val="32"/>
          <w:u w:val="none"/>
        </w:rPr>
        <w:t>拟稿</w:t>
      </w:r>
    </w:p>
    <w:p>
      <w:pPr>
        <w:spacing w:line="560" w:lineRule="exact"/>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 xml:space="preserve">    要符合国家的方针、政策、法律、法令和有关规定；</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情况要确定，观点要明确，文字要精炼，条理要清楚，层次要分明，标点符号要正确，篇幅要力求精简；</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引用的公文要正确，须写明发文机关、发文时间、公文标题和公文编号；</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公司文件的拟稿使用电脑打字，并按公司协同办公系统的步骤规定行文，拟稿人有权限对该公文的行文流程进行全程监督；</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拟制公文，对涉及其他部门职权范围内的事项，主办部门应当主动与有关部门协商，取得一致意见后方可行文；如有分歧，主办部门可以列明各方理据，提出建设性意见，并与有关部门会签后报请公司领导协调或裁定；</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文件发文单中，拟稿人应写明正文标题、会签部门、公文的缓急程度和保密程度以及公文文种等信息，以便其他流程人员准确处理公文；</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正式文件中，除文件编号、统计表、计划表、序号、百分比以及日期必须用阿拉伯数字书写，其他用汉字书写；</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章节序数一般应按顺序排列：二个层次以下的，第一层为“一”，第二层为“1”；三个层次以上的，第一层为“一”，第二层为“（一）”，第三层为“1”，第四层为“（1）”；</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年月日、人名、地名、文件名称、事务名称等，一般不用简称。</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w:t>
      </w:r>
      <w:r>
        <w:rPr>
          <w:rFonts w:ascii="仿宋_GB2312" w:hAnsi="仿宋_GB2312" w:eastAsia="仿宋_GB2312" w:cs="仿宋_GB2312"/>
          <w:color w:val="auto"/>
          <w:sz w:val="32"/>
          <w:szCs w:val="32"/>
          <w:u w:val="none"/>
        </w:rPr>
        <w:t>2</w:t>
      </w:r>
      <w:r>
        <w:rPr>
          <w:rFonts w:hint="eastAsia" w:ascii="仿宋_GB2312" w:hAnsi="仿宋_GB2312" w:eastAsia="仿宋_GB2312" w:cs="仿宋_GB2312"/>
          <w:color w:val="auto"/>
          <w:sz w:val="32"/>
          <w:szCs w:val="32"/>
          <w:u w:val="none"/>
        </w:rPr>
        <w:t>）部门领导审核</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部门领导需对本部门拟稿的公文进行文字和内容审核；</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如发现涉及有关部门职权范围的文件没有与有关部门进行协商，则需进行协商后才能进入下一步公文流程。</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（3）会签</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如文件涉及有关部门，则该部门应当对文件进行会签，如果该部门与主办部门的意见不统一，则允许有关部门在会签时写明本部门的意见，以便公司领导协调或裁定；</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如果公文不涉及其它有关部门，则该步骤程序可跳过。</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（4）核稿</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办公室负责文件核稿；</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办公室核稿的重点是：是否确需行文，行文方式是否妥当，是否符合行文规则和拟制公文的有关要求，文字表述是否有错误，公文格式是否符合规范等；</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（5）审核、签发</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涉及公司重要文件，则应由分管领导先行审核后再送总经理签发；</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签发后的公文不得再作任何修改，若确需修改，必须重新送签。</w:t>
      </w:r>
    </w:p>
    <w:p>
      <w:pPr>
        <w:spacing w:line="560" w:lineRule="exact"/>
        <w:ind w:firstLine="800" w:firstLineChars="25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（6）登记、校稿、缮印、用印、封发</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公文签发后，经登记、编号、密级和缓急程度，由</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办公室按规范格式负责排版、清样；</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公司文件由办公室统一负责誊印，拟稿部门负责公文附件的复印工作和公文的装订工作；</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文件誊印后，由</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办公室统一盖章；印章端正、居中下压发文单位署名和成文日期，使发文单位署名和成文日期居印章中心偏下位置，印章顶端应当上居正文（或附件说明）一行之内；</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文件统一由拟稿部门封发（以纸质文件为限）；</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因无纸化办公的要求和网络办公系统的支持，一般性无密级要求的转发文件、普发文件以及会议通知等文件，均由</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办公室通过公司钉钉系统发布电子版；上报</w:t>
      </w:r>
      <w:r>
        <w:rPr>
          <w:rFonts w:hint="eastAsia" w:ascii="仿宋_GB2312" w:hAnsi="仿宋_GB2312" w:eastAsia="仿宋_GB2312" w:cs="仿宋_GB2312"/>
          <w:color w:val="auto"/>
          <w:sz w:val="32"/>
          <w:szCs w:val="32"/>
          <w:u w:val="none"/>
          <w:lang w:eastAsia="zh-CN"/>
        </w:rPr>
        <w:t>资产管理公司</w:t>
      </w:r>
      <w:r>
        <w:rPr>
          <w:rFonts w:hint="eastAsia" w:ascii="仿宋_GB2312" w:hAnsi="仿宋_GB2312" w:eastAsia="仿宋_GB2312" w:cs="仿宋_GB2312"/>
          <w:color w:val="auto"/>
          <w:sz w:val="32"/>
          <w:szCs w:val="32"/>
          <w:u w:val="none"/>
        </w:rPr>
        <w:t>文件由</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w:t>
      </w:r>
      <w:r>
        <w:rPr>
          <w:rFonts w:hint="eastAsia" w:ascii="仿宋_GB2312" w:hAnsi="仿宋_GB2312" w:eastAsia="仿宋_GB2312" w:cs="仿宋_GB2312"/>
          <w:color w:val="auto"/>
          <w:sz w:val="32"/>
          <w:szCs w:val="32"/>
          <w:u w:val="none"/>
          <w:lang w:eastAsia="zh-CN"/>
        </w:rPr>
        <w:t>发送电子公文至资产管理公司相关人员</w:t>
      </w:r>
      <w:r>
        <w:rPr>
          <w:rFonts w:hint="eastAsia" w:ascii="仿宋_GB2312" w:hAnsi="仿宋_GB2312" w:eastAsia="仿宋_GB2312" w:cs="仿宋_GB2312"/>
          <w:color w:val="auto"/>
          <w:sz w:val="32"/>
          <w:szCs w:val="32"/>
          <w:u w:val="none"/>
        </w:rPr>
        <w:t>，拟稿部门负责报送纸质公文；</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文件需送市级有关单位、</w:t>
      </w:r>
      <w:r>
        <w:rPr>
          <w:rFonts w:hint="eastAsia" w:ascii="仿宋_GB2312" w:hAnsi="仿宋_GB2312" w:eastAsia="仿宋_GB2312" w:cs="仿宋_GB2312"/>
          <w:color w:val="auto"/>
          <w:sz w:val="32"/>
          <w:szCs w:val="32"/>
          <w:u w:val="none"/>
          <w:lang w:eastAsia="zh-CN"/>
        </w:rPr>
        <w:t>资产管理公司、集团公司</w:t>
      </w:r>
      <w:r>
        <w:rPr>
          <w:rFonts w:hint="eastAsia" w:ascii="仿宋_GB2312" w:hAnsi="仿宋_GB2312" w:eastAsia="仿宋_GB2312" w:cs="仿宋_GB2312"/>
          <w:color w:val="auto"/>
          <w:sz w:val="32"/>
          <w:szCs w:val="32"/>
          <w:u w:val="none"/>
        </w:rPr>
        <w:t>或需急送有关单位鉴印的，由拟稿部门负责送交。</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（7）归档</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公文办毕后，应根据《中华人民共和国档案法》、《杭州市机关档案工作管理规定》及公司档案管理规定，及时将公文定稿、正本和有关材料整理、立卷、进行电子归档和纸质归档。</w:t>
      </w:r>
    </w:p>
    <w:p>
      <w:pPr>
        <w:spacing w:line="560" w:lineRule="exact"/>
        <w:ind w:firstLine="640" w:firstLineChars="200"/>
        <w:rPr>
          <w:rFonts w:ascii="黑体" w:hAnsi="黑体" w:eastAsia="黑体" w:cs="黑体"/>
          <w:bCs/>
          <w:color w:val="auto"/>
          <w:sz w:val="32"/>
          <w:szCs w:val="32"/>
          <w:u w:val="none"/>
        </w:rPr>
      </w:pPr>
      <w:r>
        <w:rPr>
          <w:rFonts w:hint="eastAsia" w:ascii="黑体" w:hAnsi="黑体" w:eastAsia="黑体" w:cs="黑体"/>
          <w:bCs/>
          <w:color w:val="auto"/>
          <w:sz w:val="32"/>
          <w:szCs w:val="32"/>
          <w:u w:val="none"/>
        </w:rPr>
        <w:t>第六章  文件管理</w:t>
      </w:r>
    </w:p>
    <w:p>
      <w:pPr>
        <w:spacing w:line="560" w:lineRule="exact"/>
        <w:ind w:firstLine="640" w:firstLineChars="200"/>
        <w:rPr>
          <w:rFonts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文书由专人负责管理。严禁私自将秘密文件带离公司。文件传递过程中，必须严格执行登记、签收、注销等手续规定，并按照收文簿检查归档，以防遗漏。借阅文件需要登记，退回时注销。</w:t>
      </w:r>
    </w:p>
    <w:p>
      <w:pPr>
        <w:spacing w:line="560" w:lineRule="exact"/>
        <w:ind w:firstLine="640" w:firstLineChars="200"/>
        <w:rPr>
          <w:rFonts w:ascii="黑体" w:hAnsi="黑体" w:eastAsia="黑体" w:cs="黑体"/>
          <w:color w:val="auto"/>
          <w:sz w:val="32"/>
          <w:szCs w:val="32"/>
          <w:u w:val="none"/>
        </w:rPr>
      </w:pPr>
      <w:r>
        <w:rPr>
          <w:rFonts w:hint="eastAsia" w:ascii="黑体" w:hAnsi="黑体" w:eastAsia="黑体" w:cs="黑体"/>
          <w:color w:val="auto"/>
          <w:sz w:val="32"/>
          <w:szCs w:val="32"/>
          <w:u w:val="none"/>
        </w:rPr>
        <w:t>第七章  附则</w:t>
      </w:r>
    </w:p>
    <w:p>
      <w:pPr>
        <w:ind w:firstLine="640" w:firstLineChars="200"/>
        <w:rPr>
          <w:rFonts w:hint="eastAsia" w:eastAsia="仿宋_GB2312"/>
          <w:lang w:eastAsia="zh-CN"/>
        </w:rPr>
      </w:pPr>
      <w:r>
        <w:rPr>
          <w:rFonts w:hint="eastAsia" w:ascii="仿宋_GB2312" w:hAnsi="仿宋_GB2312" w:eastAsia="仿宋_GB2312" w:cs="仿宋_GB2312"/>
          <w:color w:val="auto"/>
          <w:sz w:val="32"/>
          <w:szCs w:val="32"/>
          <w:u w:val="none"/>
        </w:rPr>
        <w:t>本办法由公司</w:t>
      </w:r>
      <w:r>
        <w:rPr>
          <w:rFonts w:hint="eastAsia" w:ascii="仿宋_GB2312" w:hAnsi="仿宋_GB2312" w:eastAsia="仿宋_GB2312" w:cs="仿宋_GB2312"/>
          <w:color w:val="auto"/>
          <w:sz w:val="32"/>
          <w:szCs w:val="32"/>
          <w:u w:val="none"/>
          <w:lang w:eastAsia="zh-CN"/>
        </w:rPr>
        <w:t>综合</w:t>
      </w:r>
      <w:r>
        <w:rPr>
          <w:rFonts w:hint="eastAsia" w:ascii="仿宋_GB2312" w:hAnsi="仿宋_GB2312" w:eastAsia="仿宋_GB2312" w:cs="仿宋_GB2312"/>
          <w:color w:val="auto"/>
          <w:sz w:val="32"/>
          <w:szCs w:val="32"/>
          <w:u w:val="none"/>
        </w:rPr>
        <w:t>办公室负责解释和修订，自印发之日起</w:t>
      </w:r>
      <w:r>
        <w:rPr>
          <w:rFonts w:hint="eastAsia" w:ascii="仿宋_GB2312" w:hAnsi="仿宋_GB2312" w:eastAsia="仿宋_GB2312" w:cs="仿宋_GB2312"/>
          <w:color w:val="auto"/>
          <w:sz w:val="32"/>
          <w:szCs w:val="32"/>
          <w:u w:val="none"/>
          <w:lang w:eastAsia="zh-CN"/>
        </w:rPr>
        <w:t>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书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67D8B7"/>
    <w:multiLevelType w:val="singleLevel"/>
    <w:tmpl w:val="5A67D8B7"/>
    <w:lvl w:ilvl="0" w:tentative="0">
      <w:start w:val="3"/>
      <w:numFmt w:val="decimal"/>
      <w:suff w:val="nothing"/>
      <w:lvlText w:val="%1、"/>
      <w:lvlJc w:val="left"/>
      <w:pPr>
        <w:ind w:left="0" w:firstLine="0"/>
      </w:pPr>
    </w:lvl>
  </w:abstractNum>
  <w:num w:numId="1">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6B91122"/>
    <w:rsid w:val="080F6AF7"/>
    <w:rsid w:val="0E4868F2"/>
    <w:rsid w:val="143463E3"/>
    <w:rsid w:val="1A620D3B"/>
    <w:rsid w:val="1E0C3498"/>
    <w:rsid w:val="20AA343C"/>
    <w:rsid w:val="20DC7572"/>
    <w:rsid w:val="2403626D"/>
    <w:rsid w:val="252C4420"/>
    <w:rsid w:val="29E4351B"/>
    <w:rsid w:val="2B2A3676"/>
    <w:rsid w:val="2D6A268F"/>
    <w:rsid w:val="2E0A551A"/>
    <w:rsid w:val="2F6F4B44"/>
    <w:rsid w:val="346F4329"/>
    <w:rsid w:val="349B511E"/>
    <w:rsid w:val="3BAA3490"/>
    <w:rsid w:val="3E9055C8"/>
    <w:rsid w:val="49A62143"/>
    <w:rsid w:val="55F253AA"/>
    <w:rsid w:val="56CE4A87"/>
    <w:rsid w:val="601212B1"/>
    <w:rsid w:val="636273C7"/>
    <w:rsid w:val="68721717"/>
    <w:rsid w:val="6F03131A"/>
    <w:rsid w:val="73137F9A"/>
    <w:rsid w:val="79786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3536</Words>
  <Characters>3540</Characters>
  <Lines>0</Lines>
  <Paragraphs>0</Paragraphs>
  <TotalTime>24</TotalTime>
  <ScaleCrop>false</ScaleCrop>
  <LinksUpToDate>false</LinksUpToDate>
  <CharactersWithSpaces>3570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2023-08-14T08:24:00Z</dcterms:created>
  <dc:creator>Administrator</dc:creator>
  <cp:lastModifiedBy>沈涌</cp:lastModifiedBy>
  <dcterms:modified xsi:type="dcterms:W3CDTF">2023-12-20T08:47:44Z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CD6C77D087F74BA98E2BF3C39773DB2E_12</vt:lpwstr>
  </property>
</Properties>
</file>