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62"/>
        <w:jc w:val="center"/>
        <w:textAlignment w:val="auto"/>
        <w:rPr>
          <w:rFonts w:hint="eastAsia" w:ascii="小标宋" w:hAnsi="小标宋" w:eastAsia="小标宋" w:cs="Times New Roman"/>
          <w:b w:val="0"/>
          <w:bCs/>
          <w:sz w:val="44"/>
          <w:szCs w:val="44"/>
          <w:lang w:val="en-US" w:eastAsia="zh-CN"/>
        </w:rPr>
      </w:pPr>
      <w:r>
        <w:rPr>
          <w:rFonts w:hint="eastAsia" w:ascii="小标宋" w:hAnsi="小标宋" w:eastAsia="小标宋" w:cs="Times New Roman"/>
          <w:b w:val="0"/>
          <w:bCs/>
          <w:sz w:val="44"/>
          <w:szCs w:val="44"/>
          <w:lang w:val="en-US" w:eastAsia="zh-CN"/>
        </w:rPr>
        <w:t>员工</w:t>
      </w:r>
      <w:r>
        <w:rPr>
          <w:rFonts w:hint="eastAsia" w:ascii="小标宋" w:hAnsi="小标宋" w:eastAsia="小标宋" w:cs="Times New Roman"/>
          <w:b w:val="0"/>
          <w:bCs/>
          <w:sz w:val="44"/>
          <w:szCs w:val="44"/>
        </w:rPr>
        <w:t>考勤管理办法</w:t>
      </w:r>
      <w:r>
        <w:rPr>
          <w:rFonts w:hint="eastAsia" w:ascii="小标宋" w:hAnsi="小标宋" w:eastAsia="小标宋" w:cs="小标宋"/>
          <w:color w:val="auto"/>
          <w:kern w:val="0"/>
          <w:sz w:val="44"/>
          <w:szCs w:val="44"/>
          <w:highlight w:val="none"/>
          <w:lang w:eastAsia="zh-CN"/>
        </w:rPr>
        <w:t>（试行）</w:t>
      </w:r>
    </w:p>
    <w:p>
      <w:pPr>
        <w:pStyle w:val="2"/>
        <w:ind w:left="0" w:leftChars="0" w:firstLine="0" w:firstLineChars="0"/>
        <w:rPr>
          <w:rFonts w:hint="eastAsi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560" w:lineRule="exact"/>
        <w:jc w:val="center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第一章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总则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第一条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为加强考勤管理，严肃劳动纪律，保证正常工作秩序，提高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遵守纪律的自觉性和工作效率，根据相关法律法规，结合本公司实际，制定本办法。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第二条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本办法所称考勤是指为加强公司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工作纪律约束，对其上下班情况进行管理。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考勤情况将作为考核各部室和计发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薪酬的重要依据。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第三条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本办法所指考勤对象为公司在编在岗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第四条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cs="仿宋_GB2312"/>
          <w:color w:val="000000"/>
          <w:sz w:val="32"/>
          <w:szCs w:val="32"/>
          <w:lang w:eastAsia="zh-CN"/>
        </w:rPr>
        <w:t>公司综合办公室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负责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考勤、休假</w:t>
      </w:r>
      <w:r>
        <w:rPr>
          <w:rFonts w:hint="eastAsia" w:ascii="仿宋_GB2312" w:hAnsi="仿宋_GB2312" w:cs="仿宋_GB2312"/>
          <w:color w:val="000000"/>
          <w:sz w:val="32"/>
          <w:szCs w:val="32"/>
          <w:lang w:eastAsia="zh-CN"/>
        </w:rPr>
        <w:t>管理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line="560" w:lineRule="exact"/>
        <w:jc w:val="center"/>
        <w:textAlignment w:val="auto"/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第二章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日常考勤管理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576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第五条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公司实行每周五天工作制，即周一至周五为工作日，周六、周日为休息日。法定节假日安排以国务院办公厅公布的信息为准。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rPr>
          <w:rFonts w:hint="eastAsia" w:ascii="仿宋_GB2312" w:hAnsi="仿宋_GB2312" w:eastAsia="仿宋_GB2312" w:cs="仿宋_GB2312"/>
          <w:color w:val="FF0000"/>
          <w:sz w:val="32"/>
          <w:szCs w:val="32"/>
          <w:u w:val="singl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第六条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工作日实行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标准工时制</w:t>
      </w:r>
      <w:r>
        <w:rPr>
          <w:rFonts w:hint="eastAsia" w:ascii="仿宋_GB2312" w:hAnsi="仿宋_GB2312" w:eastAsia="仿宋_GB2312" w:cs="仿宋_GB2312"/>
          <w:sz w:val="32"/>
          <w:szCs w:val="32"/>
        </w:rPr>
        <w:t>，上下班时间以公司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综合</w:t>
      </w:r>
      <w:r>
        <w:rPr>
          <w:rFonts w:hint="eastAsia" w:ascii="仿宋_GB2312" w:hAnsi="仿宋_GB2312" w:cs="仿宋_GB2312"/>
          <w:sz w:val="32"/>
          <w:szCs w:val="32"/>
          <w:lang w:eastAsia="zh-CN"/>
        </w:rPr>
        <w:t>办公室</w:t>
      </w:r>
      <w:r>
        <w:rPr>
          <w:rFonts w:hint="eastAsia" w:ascii="仿宋_GB2312" w:hAnsi="仿宋_GB2312" w:eastAsia="仿宋_GB2312" w:cs="仿宋_GB2312"/>
          <w:sz w:val="32"/>
          <w:szCs w:val="32"/>
        </w:rPr>
        <w:t>最新发布的作息时间为准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员工在钉钉上自行打卡。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第七条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工作日按时上下班，无请假，无迟到、早退、旷工等违纪问题者为出勤；考勤按月进行管理，月全勤天数为当月总天数扣除双休日和法定节假日。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jc w:val="center"/>
        <w:rPr>
          <w:rFonts w:hint="eastAsia" w:ascii="仿宋_GB2312" w:hAnsi="仿宋_GB2312" w:eastAsia="仿宋_GB2312" w:cs="仿宋_GB2312"/>
          <w:b/>
          <w:bCs w:val="0"/>
          <w:i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第三章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异常缺勤的管理规定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第八条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异常缺勤的定义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1、迟到：比规定上班时间晚到的；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2、早退：比规定下班时间早离岗；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3、脱岗：上班期间擅自离开本岗位；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4、旷工：未经批准未上班；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5、缺卡：考勤未打卡，考勤平台显示为缺卡。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第九条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员工凡出现下列情况之一的缺勤，均为旷工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、未履行请假手续或请假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未获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批准；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2、超过批准的假期又没有及时续假；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3、不能提供有效的请假证明；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4、以虚假理由请假并休假者；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5、部门或职位调整，岗位调动后不服从分配，逾期不到岗的。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第十条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异常缺勤的工资计算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1、上班时间开始后30分钟内到公司，按迟到论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提前30分钟以内下班者，按早退论。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超过30分钟</w:t>
      </w:r>
      <w:r>
        <w:rPr>
          <w:rFonts w:hint="eastAsia" w:ascii="仿宋_GB2312" w:hAnsi="仿宋_GB2312" w:eastAsia="仿宋_GB2312" w:cs="仿宋_GB2312"/>
          <w:sz w:val="32"/>
          <w:szCs w:val="32"/>
        </w:rPr>
        <w:t>者，按旷工半天论处，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超过4小时</w:t>
      </w:r>
      <w:r>
        <w:rPr>
          <w:rFonts w:hint="eastAsia" w:ascii="仿宋_GB2312" w:hAnsi="仿宋_GB2312" w:eastAsia="仿宋_GB2312" w:cs="仿宋_GB2312"/>
          <w:sz w:val="32"/>
          <w:szCs w:val="32"/>
        </w:rPr>
        <w:t>者，按全天旷工论处；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2、旷工处理规定：无故旷工的，旷工期间无基本工资、月绩效工资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</w:rPr>
        <w:t>按事假标准2倍扣发。连续旷工3天及以上或全年累计旷工7天及以上的，视为严重违反劳动纪律，公司有权单方解除劳动合同。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jc w:val="center"/>
        <w:rPr>
          <w:rFonts w:hint="eastAsia" w:ascii="仿宋_GB2312" w:hAnsi="仿宋_GB2312" w:eastAsia="仿宋_GB2312" w:cs="仿宋_GB2312"/>
          <w:b/>
          <w:bCs w:val="0"/>
          <w:i w:val="0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四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章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考勤管理系统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第十一条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公司运用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钉钉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互联网技术，建立考勤管理系统对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考勤进行管理。</w:t>
      </w:r>
      <w:r>
        <w:rPr>
          <w:rFonts w:hint="eastAsia" w:ascii="仿宋_GB2312" w:hAnsi="仿宋_GB2312" w:eastAsia="仿宋_GB2312" w:cs="仿宋_GB2312"/>
          <w:sz w:val="32"/>
          <w:szCs w:val="32"/>
        </w:rPr>
        <w:t>考勤管理系统包括考勤管理系统与考勤设备。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第十二条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>公司综合办公室</w:t>
      </w:r>
      <w:r>
        <w:rPr>
          <w:rFonts w:hint="eastAsia" w:ascii="仿宋_GB2312" w:hAnsi="仿宋_GB2312" w:eastAsia="仿宋_GB2312" w:cs="仿宋_GB2312"/>
          <w:sz w:val="32"/>
          <w:szCs w:val="32"/>
        </w:rPr>
        <w:t>负责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钉钉</w:t>
      </w:r>
      <w:r>
        <w:rPr>
          <w:rFonts w:hint="eastAsia" w:ascii="仿宋_GB2312" w:hAnsi="仿宋_GB2312" w:eastAsia="仿宋_GB2312" w:cs="仿宋_GB2312"/>
          <w:sz w:val="32"/>
          <w:szCs w:val="32"/>
        </w:rPr>
        <w:t>考勤管理系统建设、更新及数据维护，每月初对上月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sz w:val="32"/>
          <w:szCs w:val="32"/>
        </w:rPr>
        <w:t>考勤数据进行汇总、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公示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对违反劳动纪律的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进行通报，并依据本办法有关规定，进行处理。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第十三条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公司全体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必须</w:t>
      </w:r>
      <w:r>
        <w:rPr>
          <w:rFonts w:hint="eastAsia" w:ascii="仿宋_GB2312" w:hAnsi="仿宋_GB2312" w:eastAsia="仿宋_GB2312" w:cs="仿宋_GB2312"/>
          <w:sz w:val="32"/>
          <w:szCs w:val="32"/>
        </w:rPr>
        <w:t>认真学习、掌握和使用考勤管理系统与考勤设备，原则上对请假、出差等审批事项，不再走纸质审批流程。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第十四条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</w:rPr>
        <w:t>公司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sz w:val="32"/>
          <w:szCs w:val="32"/>
        </w:rPr>
        <w:t>在工作时间里，出入各办公场所均应在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钉钉</w:t>
      </w:r>
      <w:r>
        <w:rPr>
          <w:rFonts w:hint="eastAsia" w:ascii="仿宋_GB2312" w:hAnsi="仿宋_GB2312" w:eastAsia="仿宋_GB2312" w:cs="仿宋_GB2312"/>
          <w:sz w:val="32"/>
          <w:szCs w:val="32"/>
        </w:rPr>
        <w:t>上签到或签退。公司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sz w:val="32"/>
          <w:szCs w:val="32"/>
        </w:rPr>
        <w:t>因公外出、出差，或因私请假者，均应通过考勤管理系统，提前办理相关审批手续，经上级批准后方可外出。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156" w:beforeLines="50" w:line="560" w:lineRule="exact"/>
        <w:jc w:val="center"/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五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章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外出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、请假流程审批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管理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第十五条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sz w:val="32"/>
          <w:szCs w:val="32"/>
          <w:highlight w:val="none"/>
          <w:lang w:val="en-US" w:eastAsia="zh-CN"/>
        </w:rPr>
        <w:t xml:space="preserve">  员工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因公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、因私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外出办事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、请假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的，须按照考勤归口，提前向直管上级发出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相关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申请，说明外出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、请假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的时间段、地点及办理事项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，请假理由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。具体审批规则如下：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1、</w:t>
      </w:r>
      <w:r>
        <w:rPr>
          <w:rFonts w:hint="eastAsia" w:ascii="仿宋_GB2312" w:hAnsi="仿宋_GB2312" w:cs="仿宋_GB2312"/>
          <w:color w:val="000000"/>
          <w:sz w:val="32"/>
          <w:szCs w:val="32"/>
          <w:highlight w:val="none"/>
          <w:lang w:eastAsia="zh-CN"/>
        </w:rPr>
        <w:t>公司管理员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因公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、因私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外出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或请假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天及以内的，须按照考勤归口，提前向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部门负责人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发出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相关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申请，经同意后，方可外出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或请假。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因公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、因私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外出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或请假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超过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天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向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部门负责人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发送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相关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申请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，同时报备</w:t>
      </w:r>
      <w:r>
        <w:rPr>
          <w:rFonts w:hint="eastAsia" w:ascii="仿宋_GB2312" w:hAnsi="仿宋_GB2312" w:cs="仿宋_GB2312"/>
          <w:color w:val="000000"/>
          <w:sz w:val="32"/>
          <w:szCs w:val="32"/>
          <w:highlight w:val="none"/>
          <w:lang w:eastAsia="zh-CN"/>
        </w:rPr>
        <w:t>综合办公室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负责人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，报分管领导批准后，方可外出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或请假；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2、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中层干部因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公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、因私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外出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或请假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天及以内的，须按照考勤归口，提前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报备</w:t>
      </w:r>
      <w:r>
        <w:rPr>
          <w:rFonts w:hint="eastAsia" w:ascii="仿宋_GB2312" w:hAnsi="仿宋_GB2312" w:cs="仿宋_GB2312"/>
          <w:color w:val="000000"/>
          <w:sz w:val="32"/>
          <w:szCs w:val="32"/>
          <w:highlight w:val="none"/>
          <w:lang w:eastAsia="zh-CN"/>
        </w:rPr>
        <w:t>综合办公室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负责人，同时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向分管领导发送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相关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申请，经同意后，方可外出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或请假。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因公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、因私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外出超过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天的，提前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报备</w:t>
      </w:r>
      <w:r>
        <w:rPr>
          <w:rFonts w:hint="eastAsia" w:ascii="仿宋_GB2312" w:hAnsi="仿宋_GB2312" w:cs="仿宋_GB2312"/>
          <w:color w:val="000000"/>
          <w:sz w:val="32"/>
          <w:szCs w:val="32"/>
          <w:highlight w:val="none"/>
          <w:lang w:eastAsia="zh-CN"/>
        </w:rPr>
        <w:t>综合办公室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负责人，同时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向分管领导发出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相关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申请，经同意后，报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总经理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批准后，方可外出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或请假；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、公司领导班子成员因公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eastAsia="zh-CN"/>
        </w:rPr>
        <w:t>、因私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离开杭州的或参加非公司组织的公务活动时，应告知公司</w:t>
      </w:r>
      <w:r>
        <w:rPr>
          <w:rFonts w:hint="eastAsia" w:ascii="仿宋_GB2312" w:hAnsi="仿宋_GB2312" w:cs="仿宋_GB2312"/>
          <w:color w:val="000000"/>
          <w:sz w:val="32"/>
          <w:szCs w:val="32"/>
          <w:highlight w:val="none"/>
          <w:lang w:eastAsia="zh-CN"/>
        </w:rPr>
        <w:t>综合办公室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，并按</w:t>
      </w:r>
      <w:r>
        <w:rPr>
          <w:rFonts w:hint="eastAsia" w:ascii="仿宋_GB2312" w:hAnsi="仿宋_GB2312" w:cs="仿宋_GB2312"/>
          <w:color w:val="000000"/>
          <w:sz w:val="32"/>
          <w:szCs w:val="32"/>
          <w:highlight w:val="none"/>
          <w:lang w:eastAsia="zh-CN"/>
        </w:rPr>
        <w:t>资产管理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</w:rPr>
        <w:t>公司有关规定，履行报告或审批手续。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jc w:val="center"/>
        <w:rPr>
          <w:rFonts w:hint="eastAsia" w:ascii="仿宋_GB2312" w:hAnsi="仿宋_GB2312" w:eastAsia="仿宋_GB2312" w:cs="仿宋_GB2312"/>
          <w:b/>
          <w:bCs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六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章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因私请假管理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第十六条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因私请假包括：年休假、事假、病假、婚假、丧假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产假、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护理假、育儿假、独生子女陪护假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等。</w:t>
      </w:r>
    </w:p>
    <w:p>
      <w:pPr>
        <w:spacing w:line="540" w:lineRule="exact"/>
        <w:ind w:firstLine="640" w:firstLineChars="200"/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七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带薪年休假（以下简称年休假）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6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连续工作满12个月以上的，享受带薪年休假。新入职员工，满足“连续工作满12个月以上”条件的，其第一个自然年度可享受年休假天数，按照自满足条件之日起该年度剩余日历天数折算确定，折算后不足1整天的部分不享受年休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折算方法为：（自满足条件之日起该年度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员工在本单位工作的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剩余日历天数÷365天）×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本人全年应当享受的年休假天数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）。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年休假标准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1、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员工累计工作满1年不满10年的，年休假5天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满10年不满20年的，年休假10天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满20年的，年休假15天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；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国家法定节假日、双休日不计入年休假的假期。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依法享受婚丧假、产假等国家规定的假期以及因工伤停工留薪期间不计入年休假假期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val="en-US" w:eastAsia="zh-CN"/>
        </w:rPr>
        <w:t>3、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在年休假期间享受与正常工作期间相同的薪资待遇。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30"/>
        <w:rPr>
          <w:rFonts w:hint="eastAsia" w:ascii="仿宋_GB2312" w:hAnsi="仿宋_GB2312" w:eastAsia="仿宋_GB2312" w:cs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sz w:val="32"/>
          <w:szCs w:val="32"/>
          <w:lang w:eastAsia="zh-CN"/>
        </w:rPr>
        <w:t>（二）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有下列情形之一的，当年不享受年休假：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3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1、累计工作满1年不满10年的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，请病假累计2个月以上的；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3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2、累计工作满10年不满20年的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，请病假累计3个月以上的；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3、累计工作满20年以上的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，请病假累计4个月以上的；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4、</w:t>
      </w:r>
      <w:r>
        <w:rPr>
          <w:rFonts w:hint="eastAsia" w:ascii="仿宋_GB2312" w:hAnsi="仿宋_GB2312" w:eastAsia="仿宋_GB2312" w:cs="仿宋_GB2312"/>
          <w:color w:val="000000"/>
          <w:sz w:val="32"/>
          <w:szCs w:val="32"/>
        </w:rPr>
        <w:t>参加各类学校学习，脱产半年以上的；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57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5、其他不应享受年休假的情况。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（三）年休假管理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kern w:val="0"/>
          <w:sz w:val="32"/>
          <w:szCs w:val="32"/>
          <w:lang w:val="en-US" w:eastAsia="zh-CN"/>
        </w:rPr>
        <w:t>1、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各部室可根据工作的具体情况，并考虑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本人意愿，统筹安排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年休假。经公司</w:t>
      </w:r>
      <w:r>
        <w:rPr>
          <w:rFonts w:hint="eastAsia" w:ascii="仿宋_GB2312" w:hAnsi="仿宋_GB2312" w:cs="仿宋_GB2312"/>
          <w:color w:val="000000"/>
          <w:kern w:val="0"/>
          <w:sz w:val="32"/>
          <w:szCs w:val="32"/>
          <w:lang w:eastAsia="zh-CN"/>
        </w:rPr>
        <w:t>经营班子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研究，年休假在1个年度内可以集中安排，也可以分段安排，不跨年度安排。当年的年休假当年休，一般不跨年度安排，因工作特点确有必要跨年度安排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年休假的，可顺延至下一年度的第一季度内休完。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因自身原因未休完当年年休假的，未休天数视作自动放弃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 w:val="0"/>
          <w:bCs/>
          <w:i w:val="0"/>
          <w:color w:val="000000"/>
          <w:kern w:val="0"/>
          <w:sz w:val="32"/>
          <w:szCs w:val="32"/>
          <w:lang w:val="en-US" w:eastAsia="zh-CN"/>
        </w:rPr>
        <w:t>、</w:t>
      </w:r>
      <w:r>
        <w:rPr>
          <w:rFonts w:hint="eastAsia" w:ascii="仿宋_GB2312" w:hAnsi="仿宋_GB2312" w:cs="仿宋_GB2312"/>
          <w:b w:val="0"/>
          <w:bCs/>
          <w:i w:val="0"/>
          <w:color w:val="000000"/>
          <w:sz w:val="32"/>
          <w:szCs w:val="32"/>
          <w:lang w:val="en-US" w:eastAsia="zh-CN"/>
        </w:rPr>
        <w:t>公司</w:t>
      </w:r>
      <w:r>
        <w:rPr>
          <w:rFonts w:hint="eastAsia" w:ascii="仿宋_GB2312" w:hAnsi="仿宋_GB2312" w:cs="仿宋_GB2312"/>
          <w:color w:val="000000"/>
          <w:sz w:val="32"/>
          <w:szCs w:val="32"/>
          <w:lang w:eastAsia="zh-CN"/>
        </w:rPr>
        <w:t>综合办公室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应掌握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年休假情况并进行监督，防止不休、漏休、超休年休假等现象。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b/>
          <w:bCs w:val="0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第十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八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事假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事假指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因办理私事而产生的请假。在办理请假手续时，须说明原因，必要时附有关证明材料，按规定流程办理审批手续。</w:t>
      </w:r>
    </w:p>
    <w:p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事假以半天为基本单位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yellow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2、</w:t>
      </w:r>
      <w:r>
        <w:rPr>
          <w:rFonts w:hint="eastAsia" w:ascii="仿宋_GB2312" w:hAnsi="仿宋_GB2312" w:eastAsia="仿宋_GB2312" w:cs="仿宋_GB2312"/>
          <w:sz w:val="32"/>
          <w:szCs w:val="32"/>
        </w:rPr>
        <w:t>事假期间扣发为：当月累计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</w:t>
      </w:r>
      <w:r>
        <w:rPr>
          <w:rFonts w:hint="eastAsia" w:ascii="仿宋_GB2312" w:hAnsi="仿宋_GB2312" w:eastAsia="仿宋_GB2312" w:cs="仿宋_GB2312"/>
          <w:sz w:val="32"/>
          <w:szCs w:val="32"/>
        </w:rPr>
        <w:t>天以内事假按当月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月基本</w:t>
      </w:r>
      <w:r>
        <w:rPr>
          <w:rFonts w:hint="eastAsia" w:ascii="仿宋_GB2312" w:hAnsi="仿宋_GB2312" w:eastAsia="仿宋_GB2312" w:cs="仿宋_GB2312"/>
          <w:sz w:val="32"/>
          <w:szCs w:val="32"/>
        </w:rPr>
        <w:t>工资比例扣除（月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基本</w:t>
      </w:r>
      <w:r>
        <w:rPr>
          <w:rFonts w:hint="eastAsia" w:ascii="仿宋_GB2312" w:hAnsi="仿宋_GB2312" w:eastAsia="仿宋_GB2312" w:cs="仿宋_GB2312"/>
          <w:sz w:val="32"/>
          <w:szCs w:val="32"/>
        </w:rPr>
        <w:t>工资/21.75*事假天数）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。</w:t>
      </w:r>
      <w:r>
        <w:rPr>
          <w:rFonts w:hint="eastAsia" w:ascii="仿宋_GB2312" w:hAnsi="仿宋_GB2312" w:eastAsia="仿宋_GB2312" w:cs="仿宋_GB2312"/>
          <w:sz w:val="32"/>
          <w:szCs w:val="32"/>
        </w:rPr>
        <w:t>当月累计事假超过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</w:rPr>
        <w:t>0天（含）的，无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当月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的月</w:t>
      </w:r>
      <w:r>
        <w:rPr>
          <w:rFonts w:hint="eastAsia" w:ascii="仿宋_GB2312" w:hAnsi="仿宋_GB2312" w:eastAsia="仿宋_GB2312" w:cs="仿宋_GB2312"/>
          <w:sz w:val="32"/>
          <w:szCs w:val="32"/>
        </w:rPr>
        <w:t>基本工资、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月预发</w:t>
      </w:r>
      <w:r>
        <w:rPr>
          <w:rFonts w:hint="eastAsia" w:ascii="仿宋_GB2312" w:hAnsi="仿宋_GB2312" w:eastAsia="仿宋_GB2312" w:cs="仿宋_GB2312"/>
          <w:sz w:val="32"/>
          <w:szCs w:val="32"/>
        </w:rPr>
        <w:t>绩效工资、年度绩效考核奖金及通讯费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；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3、一个自然年度内请事假累计达到1个月的，必须书面说明原因，无正当理由或理由不充分的，由本部门负责人提出处理意见，报公司</w:t>
      </w:r>
      <w:r>
        <w:rPr>
          <w:rFonts w:hint="eastAsia" w:ascii="仿宋_GB2312" w:hAnsi="仿宋_GB2312" w:cs="仿宋_GB2312"/>
          <w:sz w:val="32"/>
          <w:szCs w:val="32"/>
          <w:lang w:eastAsia="zh-CN"/>
        </w:rPr>
        <w:t>综合办公室</w:t>
      </w:r>
      <w:r>
        <w:rPr>
          <w:rFonts w:hint="eastAsia" w:ascii="仿宋_GB2312" w:hAnsi="仿宋_GB2312" w:eastAsia="仿宋_GB2312" w:cs="仿宋_GB2312"/>
          <w:sz w:val="32"/>
          <w:szCs w:val="32"/>
        </w:rPr>
        <w:t>分管领导、总经理审批。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b/>
          <w:bCs w:val="0"/>
          <w:color w:val="000000"/>
          <w:kern w:val="0"/>
          <w:sz w:val="32"/>
          <w:szCs w:val="32"/>
          <w:lang w:eastAsia="zh-CN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十九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 xml:space="preserve">  病假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病假指</w:t>
      </w:r>
      <w:r>
        <w:rPr>
          <w:rFonts w:hint="eastAsia" w:ascii="仿宋_GB2312" w:hAnsi="仿宋_GB2312" w:eastAsia="仿宋_GB2312" w:cs="仿宋_GB2312"/>
          <w:sz w:val="32"/>
          <w:szCs w:val="32"/>
        </w:rPr>
        <w:t>员工患病或非因公负伤需请病假休息治疗的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</w:rPr>
        <w:t>而产生的请假。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default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1、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病假以半天为基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本单位，员工请病假不满半天按半天计算，满半天不满一天按一天计算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；</w:t>
      </w:r>
    </w:p>
    <w:p>
      <w:pPr>
        <w:pStyle w:val="2"/>
        <w:ind w:left="0" w:leftChars="0" w:firstLine="640" w:firstLineChars="200"/>
        <w:rPr>
          <w:rFonts w:hint="default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2、医疗期有关规定按照《企业职工患病或非因工负伤医疗期规定》（劳部发〔1994〕479号）执行；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3、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规定的医疗期满后，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员工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如不能从事原工作，也不能从事由公司另行安排的工作的，公司有权利提前三十日以书面形式通知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本人或者额外支付一个月工资后，解除劳动合同。</w:t>
      </w:r>
    </w:p>
    <w:p>
      <w:pPr>
        <w:pStyle w:val="2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560" w:lineRule="exact"/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病假期间待遇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病假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天（含）以内的，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当月的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月基本工资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预发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绩效工资全额给发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病假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累计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超过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天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不满1个月的，病假期间的月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基本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工资按50%的比例扣除（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月基本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工资*50%/21.75*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病假天数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-5天）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3、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病假超过1个月不满3个月的，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当月的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月基本工资全额给发，病假期间无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当月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的月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预发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绩效工资及年度绩效考核奖金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4、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病假超过3个月不满6个月的，从第4个月起，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当月的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月基本工资按80%计发。病假期间无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当月的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预发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绩效工资、年度绩效考核奖金及通讯费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5、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病假超过6个月的，从第7个月起，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当月的月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基本工资按70%计发，病假期间无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当月的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月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预发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绩效工资、年度绩效考核奖金、通讯费及其他福利待遇。</w:t>
      </w:r>
    </w:p>
    <w:p>
      <w:pPr>
        <w:pStyle w:val="2"/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snapToGrid/>
        <w:spacing w:line="560" w:lineRule="exact"/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eastAsia="zh-CN"/>
        </w:rPr>
        <w:t>病假请假手续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1、病假1天及以内的，在办理请假手续时，应简要说明病况，明确就诊医院，提交病假申请。如有就诊预约凭证，应随申请一并发送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如无就诊预约凭证的，需保存好挂号单、检查单、药单、病历本医生诊断等证明材料，以备查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;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2、病假1天以上的，在办理请假手续时，须提供县级以上医院病（休）假证明。若无法提供有效证明的，按事假处理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如出具虚假病假证明的，按旷工处理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3、办理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延长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病假的，除提交医院证明外，还须提交书面的情况说明，附相关就诊资料，方可办理请假手续。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第二十条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婚假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婚假指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因结婚而产生的请假，按照国家《婚姻法》及相关规定执行，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在公司劳动合同期限内结婚登记的，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可享受婚假，标准如下：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1、按法定结婚年龄（女20周岁，男22周岁）结婚的，可享受3天婚假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2、婚假须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在领证后一年内休完；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3、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婚假须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一次性休完，国家法定节假日、双休日不计入婚假的假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4、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结婚时男女双方不在一地工作的，可视路程远近，另给予不超过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1—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3天的路程假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、婚假期间（含路程假）的薪资待遇照常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、办理婚假请假手续时，应提供结婚证证明材料，证明材料须以电子版形式（应清晰可见），随申请一并发送。请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婚假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时未领取结婚证的，须在半年内补齐相关证明材料，否则计入年休假或事假。</w:t>
      </w:r>
    </w:p>
    <w:p>
      <w:pPr>
        <w:spacing w:line="540" w:lineRule="exact"/>
        <w:ind w:firstLine="640" w:firstLineChars="200"/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第二十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一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产假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产假指女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符合法律法规规定分娩的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产期前后的休假待遇，依据浙江省有关规定执行。</w:t>
      </w:r>
    </w:p>
    <w:p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女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在享受国家规定产假（98天）的基础上，一孩延长产假60天（总计158天），二孩、三孩延长产假90天（总计188天），其中产前可以休假15天，产假自生育之日起按照自然日计算，包含国家法定节假日、休息日和职业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2、难产的，增加产假15天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。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生育多胞胎的，每多生育1个婴儿，增加产假15天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、女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怀孕未满4个月流产的，享受15天产假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怀孕满4个月流产的，享受42天产假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、办理产假手续时，应提供医院证明材料，证明材料须以电子形式（应清晰可见），随申请一并发送，否则计入年休假或事假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、产假期间薪资待遇照常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bCs/>
          <w:iCs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Cs/>
          <w:iCs/>
          <w:kern w:val="0"/>
          <w:sz w:val="32"/>
          <w:szCs w:val="32"/>
          <w:highlight w:val="none"/>
          <w:lang w:val="en-US" w:eastAsia="zh-CN"/>
        </w:rPr>
        <w:t>6</w:t>
      </w:r>
      <w:r>
        <w:rPr>
          <w:rFonts w:hint="eastAsia" w:ascii="仿宋_GB2312" w:hAnsi="仿宋_GB2312" w:eastAsia="仿宋_GB2312" w:cs="仿宋_GB2312"/>
          <w:bCs/>
          <w:iCs/>
          <w:kern w:val="0"/>
          <w:sz w:val="32"/>
          <w:szCs w:val="32"/>
          <w:highlight w:val="none"/>
        </w:rPr>
        <w:t>、对哺乳未满1周岁婴儿的女性</w:t>
      </w:r>
      <w:r>
        <w:rPr>
          <w:rFonts w:hint="eastAsia" w:ascii="仿宋_GB2312" w:hAnsi="仿宋_GB2312" w:eastAsia="仿宋_GB2312" w:cs="仿宋_GB2312"/>
          <w:bCs/>
          <w:iCs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bCs/>
          <w:iCs/>
          <w:kern w:val="0"/>
          <w:sz w:val="32"/>
          <w:szCs w:val="32"/>
          <w:highlight w:val="none"/>
        </w:rPr>
        <w:t>，在每天工作时间内可安排1个小时的哺乳时间，多胞胎每多生育1个婴儿可增加1个小时。哺乳时间，可计为工作时间。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第二十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二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丧假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丧假指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eastAsia="zh-CN"/>
        </w:rPr>
        <w:t>员工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</w:rPr>
        <w:t>亲属（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父母、配偶、子女、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</w:rPr>
        <w:t>配偶父母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</w:rPr>
        <w:t>、祖父母、外祖父母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</w:rPr>
        <w:t>）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死亡时，给予不超过3天的丧假；需要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本人去外地料理丧事的，可视路程远近，另给予不超过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1—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3天的路程假；丧假期间薪资待遇照常。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第二十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三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护理假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男性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符合法律法规规定的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，可享受护理假15天，护理假期间薪资待遇照常。</w:t>
      </w:r>
    </w:p>
    <w:p>
      <w:pPr>
        <w:spacing w:line="540" w:lineRule="exact"/>
        <w:ind w:firstLine="640" w:firstLineChars="200"/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第二十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四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 xml:space="preserve">  育儿假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left="0" w:leftChars="0"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在子女三周岁内，夫妻双方每年各享受10天育儿假，育儿假期间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薪资待遇照常</w:t>
      </w: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。</w:t>
      </w:r>
    </w:p>
    <w:p>
      <w:pPr>
        <w:spacing w:line="540" w:lineRule="exact"/>
        <w:ind w:firstLine="640" w:firstLineChars="200"/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第二十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五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 xml:space="preserve">  陪护父母假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_GB2312" w:hAnsi="仿宋_GB2312" w:eastAsia="仿宋_GB2312" w:cs="仿宋_GB2312"/>
          <w:kern w:val="2"/>
          <w:sz w:val="32"/>
          <w:szCs w:val="32"/>
          <w:highlight w:val="none"/>
          <w:lang w:val="en-US" w:eastAsia="zh-CN" w:bidi="ar-SA"/>
        </w:rPr>
        <w:t>独生子女家庭父母一方年满六十周岁的，独生子女每年享受5天陪护父母假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，陪护假期间薪资待遇照常。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第二十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六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工伤假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工伤假指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因工受伤而产生的请假，按照国家相关法律法规执行。</w:t>
      </w:r>
    </w:p>
    <w:p>
      <w:pPr>
        <w:spacing w:beforeLines="0" w:afterLines="0" w:line="560" w:lineRule="exact"/>
        <w:ind w:firstLine="0" w:firstLineChars="0"/>
        <w:jc w:val="center"/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七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章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值班、加班管理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第二十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七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 w:val="0"/>
          <w:i w:val="0"/>
          <w:color w:val="00000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公司根据工作需要，可安排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在非工作时间进行值班、加班。非工作时间包括法定休息日、节假日，以及工作日夜班。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第二十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八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 w:val="0"/>
          <w:i w:val="0"/>
          <w:color w:val="00000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值班是指因安全、消防、假日等需要，临时或根据有关制度安排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从事与本职工作无直接关联的工作。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二十九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 w:val="0"/>
          <w:i w:val="0"/>
          <w:color w:val="00000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加班是指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在平时正常工作时间外，在履行批准手续后，继续从事自己的本职工作，可认定为加班。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val="en-US" w:eastAsia="zh-CN"/>
        </w:rPr>
        <w:t>员工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主动延长工作时间的，或因工作拖沓造成的工作时间延长，不视作加班。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第三十条</w:t>
      </w:r>
      <w:r>
        <w:rPr>
          <w:rFonts w:hint="eastAsia" w:ascii="仿宋_GB2312" w:hAnsi="仿宋_GB2312" w:eastAsia="仿宋_GB2312" w:cs="仿宋_GB2312"/>
          <w:b/>
          <w:bCs w:val="0"/>
          <w:i w:val="0"/>
          <w:color w:val="00000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值班由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highlight w:val="none"/>
          <w:lang w:eastAsia="zh-CN"/>
        </w:rPr>
        <w:t>综合</w:t>
      </w:r>
      <w:r>
        <w:rPr>
          <w:rFonts w:hint="eastAsia" w:ascii="仿宋_GB2312" w:hAnsi="仿宋_GB2312" w:cs="仿宋_GB2312"/>
          <w:color w:val="auto"/>
          <w:kern w:val="0"/>
          <w:sz w:val="32"/>
          <w:szCs w:val="32"/>
          <w:highlight w:val="none"/>
          <w:lang w:eastAsia="zh-CN"/>
        </w:rPr>
        <w:t>办公室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统一安排，并进行考勤管理。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1、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值班以天为单位，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</w:rPr>
        <w:t>可计调休</w:t>
      </w:r>
      <w:r>
        <w:rPr>
          <w:rFonts w:hint="eastAsia" w:ascii="仿宋_GB2312" w:hAnsi="仿宋_GB2312" w:eastAsia="仿宋_GB2312" w:cs="仿宋_GB2312"/>
          <w:color w:val="000000"/>
          <w:kern w:val="0"/>
          <w:sz w:val="32"/>
          <w:szCs w:val="32"/>
          <w:highlight w:val="none"/>
          <w:lang w:eastAsia="zh-CN"/>
        </w:rPr>
        <w:t>；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bCs/>
          <w:iCs/>
          <w:color w:val="000000"/>
          <w:kern w:val="0"/>
          <w:sz w:val="32"/>
          <w:szCs w:val="32"/>
          <w:highlight w:val="none"/>
        </w:rPr>
      </w:pPr>
      <w:r>
        <w:rPr>
          <w:rFonts w:hint="eastAsia" w:ascii="仿宋_GB2312" w:hAnsi="仿宋_GB2312" w:eastAsia="仿宋_GB2312" w:cs="仿宋_GB2312"/>
          <w:bCs/>
          <w:iCs/>
          <w:color w:val="000000"/>
          <w:kern w:val="0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Cs/>
          <w:iCs/>
          <w:color w:val="000000"/>
          <w:kern w:val="0"/>
          <w:sz w:val="32"/>
          <w:szCs w:val="32"/>
          <w:highlight w:val="none"/>
        </w:rPr>
        <w:t>、值班人员须进行正常的考勤签到和签退。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eastAsia="zh-CN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第三十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一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 w:val="0"/>
          <w:i w:val="0"/>
          <w:color w:val="00000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</w:rPr>
        <w:t>公司不提倡加班。延时加班和公休日加班原则上不发加班费，给予调休。确需发放加班费的加班时间、人数应根据实际工作需要安排，从严从紧控制并完备报批手续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eastAsia="zh-CN"/>
        </w:rPr>
        <w:t>：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val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</w:rPr>
        <w:t>员工确因工作需要不能调休的，填写《加班工资审批单》，由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highlight w:val="none"/>
          <w:lang w:eastAsia="zh-CN"/>
        </w:rPr>
        <w:t>部门负责人、综合办公室负责人、综合办公室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</w:rPr>
        <w:t>分管领导</w:t>
      </w:r>
      <w:r>
        <w:rPr>
          <w:rFonts w:hint="eastAsia" w:ascii="仿宋_GB2312" w:hAnsi="仿宋_GB2312" w:cs="仿宋_GB2312"/>
          <w:b w:val="0"/>
          <w:bCs w:val="0"/>
          <w:color w:val="auto"/>
          <w:sz w:val="32"/>
          <w:szCs w:val="32"/>
          <w:highlight w:val="none"/>
          <w:lang w:eastAsia="zh-CN"/>
        </w:rPr>
        <w:t>、总经理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</w:rPr>
        <w:t>审批后计发加班费</w:t>
      </w: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color w:val="000000"/>
          <w:sz w:val="32"/>
          <w:szCs w:val="32"/>
          <w:highlight w:val="none"/>
          <w:lang w:val="zh-CN"/>
        </w:rPr>
      </w:pPr>
      <w:r>
        <w:rPr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highlight w:val="none"/>
        </w:rPr>
        <w:t>员工应按时完成工作任务，如因工作效率低而自行加班的，不作加班计算。</w:t>
      </w:r>
    </w:p>
    <w:p>
      <w:pPr>
        <w:keepNext w:val="0"/>
        <w:keepLines w:val="0"/>
        <w:pageBreakBefore w:val="0"/>
        <w:tabs>
          <w:tab w:val="left" w:pos="6480"/>
        </w:tabs>
        <w:kinsoku/>
        <w:wordWrap/>
        <w:overflowPunct/>
        <w:topLinePunct w:val="0"/>
        <w:autoSpaceDE/>
        <w:autoSpaceDN/>
        <w:bidi w:val="0"/>
        <w:snapToGrid/>
        <w:spacing w:before="156" w:beforeLines="50" w:line="560" w:lineRule="exact"/>
        <w:jc w:val="center"/>
        <w:rPr>
          <w:rFonts w:hint="eastAsia" w:ascii="仿宋_GB2312" w:hAnsi="仿宋_GB2312" w:eastAsia="仿宋_GB2312" w:cs="仿宋_GB2312"/>
          <w:b/>
          <w:bCs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第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eastAsia="zh-CN"/>
        </w:rPr>
        <w:t>八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章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黑体" w:hAnsi="黑体" w:eastAsia="黑体" w:cs="黑体"/>
          <w:color w:val="auto"/>
          <w:sz w:val="32"/>
          <w:szCs w:val="32"/>
          <w:highlight w:val="none"/>
        </w:rPr>
        <w:t>附则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highlight w:val="none"/>
        </w:rPr>
      </w:pP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第三十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val="en-US" w:eastAsia="zh-CN"/>
        </w:rPr>
        <w:t>二</w:t>
      </w:r>
      <w:r>
        <w:rPr>
          <w:rFonts w:hint="eastAsia" w:ascii="仿宋_GB2312" w:hAnsi="仿宋_GB2312" w:eastAsia="黑体" w:cs="仿宋_GB2312"/>
          <w:b w:val="0"/>
          <w:color w:val="auto"/>
          <w:sz w:val="32"/>
          <w:szCs w:val="32"/>
          <w:highlight w:val="none"/>
          <w:lang w:eastAsia="zh-CN"/>
        </w:rPr>
        <w:t>条</w:t>
      </w:r>
      <w:r>
        <w:rPr>
          <w:rFonts w:hint="eastAsia" w:ascii="仿宋_GB2312" w:hAnsi="仿宋_GB2312" w:eastAsia="仿宋_GB2312" w:cs="仿宋_GB2312"/>
          <w:b/>
          <w:bCs w:val="0"/>
          <w:i w:val="0"/>
          <w:color w:val="00000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本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办法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由</w:t>
      </w:r>
      <w:r>
        <w:rPr>
          <w:rFonts w:hint="eastAsia" w:ascii="仿宋_GB2312" w:hAnsi="仿宋_GB2312" w:cs="仿宋_GB2312"/>
          <w:color w:val="000000"/>
          <w:sz w:val="32"/>
          <w:szCs w:val="32"/>
          <w:lang w:eastAsia="zh-CN"/>
        </w:rPr>
        <w:t>公司综合办公室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负责制订和修订，并负责解释。本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  <w:lang w:val="en-US" w:eastAsia="zh-CN"/>
        </w:rPr>
        <w:t>办法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自</w:t>
      </w:r>
      <w:r>
        <w:rPr>
          <w:rFonts w:hint="eastAsia" w:ascii="仿宋_GB2312" w:hAnsi="仿宋_GB2312" w:cs="仿宋_GB2312"/>
          <w:color w:val="auto"/>
          <w:sz w:val="32"/>
          <w:szCs w:val="32"/>
          <w:highlight w:val="none"/>
          <w:lang w:val="en-US" w:eastAsia="zh-CN"/>
        </w:rPr>
        <w:t>印发之日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highlight w:val="none"/>
          <w:lang w:val="en-US" w:eastAsia="zh-CN"/>
        </w:rPr>
        <w:t>起</w:t>
      </w:r>
      <w:r>
        <w:rPr>
          <w:rFonts w:hint="eastAsia" w:ascii="仿宋_GB2312" w:hAnsi="仿宋_GB2312" w:eastAsia="仿宋_GB2312" w:cs="仿宋_GB2312"/>
          <w:sz w:val="32"/>
          <w:szCs w:val="32"/>
          <w:highlight w:val="none"/>
        </w:rPr>
        <w:t>施行。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附件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1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  <w:lang w:val="en-US" w:eastAsia="zh-CN"/>
        </w:rPr>
        <w:t>.</w:t>
      </w:r>
      <w:r>
        <w:rPr>
          <w:rFonts w:hint="eastAsia" w:ascii="仿宋_GB2312" w:hAnsi="仿宋_GB2312" w:eastAsia="仿宋_GB2312" w:cs="仿宋_GB2312"/>
          <w:kern w:val="0"/>
          <w:sz w:val="32"/>
          <w:szCs w:val="32"/>
        </w:rPr>
        <w:t>事后补办外出手续申请表</w:t>
      </w:r>
    </w:p>
    <w:p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560" w:lineRule="exact"/>
        <w:rPr>
          <w:rFonts w:hint="eastAsia"/>
        </w:rPr>
      </w:pPr>
      <w:r>
        <w:rPr>
          <w:rFonts w:hint="eastAsia" w:ascii="仿宋_GB2312" w:hAnsi="仿宋_GB2312" w:cs="仿宋_GB2312"/>
          <w:kern w:val="0"/>
          <w:sz w:val="32"/>
          <w:szCs w:val="32"/>
          <w:lang w:val="en-US" w:eastAsia="zh-CN"/>
        </w:rPr>
        <w:t xml:space="preserve">       2.加班工资审批表</w:t>
      </w:r>
    </w:p>
    <w:p>
      <w:pPr>
        <w:keepNext w:val="0"/>
        <w:keepLines w:val="0"/>
        <w:pageBreakBefore w:val="0"/>
        <w:tabs>
          <w:tab w:val="left" w:pos="6480"/>
        </w:tabs>
        <w:kinsoku/>
        <w:wordWrap w:val="0"/>
        <w:overflowPunct/>
        <w:topLinePunct w:val="0"/>
        <w:bidi w:val="0"/>
        <w:spacing w:line="560" w:lineRule="exact"/>
        <w:ind w:firstLine="640" w:firstLineChars="200"/>
        <w:jc w:val="right"/>
        <w:rPr>
          <w:rFonts w:hint="default" w:ascii="仿宋_GB2312" w:hAnsi="Calibri" w:eastAsia="仿宋_GB2312"/>
          <w:sz w:val="32"/>
          <w:szCs w:val="32"/>
          <w:highlight w:val="none"/>
          <w:lang w:val="en-US" w:eastAsia="zh-CN"/>
        </w:rPr>
      </w:pPr>
    </w:p>
    <w:p>
      <w:pPr>
        <w:keepNext w:val="0"/>
        <w:keepLines w:val="0"/>
        <w:pageBreakBefore w:val="0"/>
        <w:kinsoku/>
        <w:overflowPunct/>
        <w:topLinePunct w:val="0"/>
        <w:bidi w:val="0"/>
        <w:spacing w:line="560" w:lineRule="exact"/>
        <w:rPr>
          <w:rFonts w:ascii="黑体" w:hAnsi="黑体" w:eastAsia="黑体" w:cs="黑体"/>
          <w:sz w:val="32"/>
          <w:szCs w:val="32"/>
          <w:highlight w:val="none"/>
        </w:rPr>
      </w:pPr>
      <w:r>
        <w:rPr>
          <w:rFonts w:hint="eastAsia" w:ascii="仿宋_GB2312" w:hAnsi="Calibri" w:eastAsia="仿宋_GB2312"/>
          <w:sz w:val="32"/>
          <w:szCs w:val="32"/>
          <w:highlight w:val="none"/>
          <w:lang w:eastAsia="zh-CN"/>
        </w:rPr>
        <w:br w:type="page"/>
      </w:r>
      <w:r>
        <w:rPr>
          <w:rFonts w:hint="eastAsia" w:ascii="黑体" w:hAnsi="黑体" w:eastAsia="黑体" w:cs="黑体"/>
          <w:b w:val="0"/>
          <w:i w:val="0"/>
          <w:sz w:val="32"/>
          <w:szCs w:val="32"/>
          <w:highlight w:val="none"/>
        </w:rPr>
        <w:t>附件</w:t>
      </w:r>
      <w:r>
        <w:rPr>
          <w:rFonts w:hint="eastAsia" w:ascii="黑体" w:hAnsi="黑体" w:eastAsia="黑体" w:cs="黑体"/>
          <w:b w:val="0"/>
          <w:i w:val="0"/>
          <w:sz w:val="32"/>
          <w:szCs w:val="32"/>
          <w:highlight w:val="none"/>
          <w:lang w:val="en-US" w:eastAsia="zh-CN"/>
        </w:rPr>
        <w:t>一</w:t>
      </w:r>
    </w:p>
    <w:p>
      <w:pPr>
        <w:keepNext w:val="0"/>
        <w:keepLines w:val="0"/>
        <w:pageBreakBefore w:val="0"/>
        <w:kinsoku/>
        <w:overflowPunct/>
        <w:topLinePunct w:val="0"/>
        <w:bidi w:val="0"/>
        <w:spacing w:line="560" w:lineRule="exact"/>
        <w:jc w:val="center"/>
        <w:rPr>
          <w:rFonts w:hint="eastAsia" w:ascii="小标宋" w:hAnsi="宋体" w:eastAsia="小标宋"/>
          <w:sz w:val="36"/>
          <w:szCs w:val="36"/>
          <w:highlight w:val="none"/>
          <w:lang w:eastAsia="zh-CN"/>
        </w:rPr>
      </w:pPr>
      <w:r>
        <w:rPr>
          <w:rFonts w:hint="eastAsia" w:ascii="小标宋" w:hAnsi="宋体" w:eastAsia="小标宋"/>
          <w:sz w:val="36"/>
          <w:szCs w:val="36"/>
          <w:highlight w:val="none"/>
          <w:lang w:eastAsia="zh-CN"/>
        </w:rPr>
        <w:t>杭州交投智慧交通产业发展有限公司</w:t>
      </w:r>
    </w:p>
    <w:tbl>
      <w:tblPr>
        <w:tblStyle w:val="4"/>
        <w:tblpPr w:leftFromText="180" w:rightFromText="180" w:vertAnchor="text" w:horzAnchor="page" w:tblpXSpec="center" w:tblpY="5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1602"/>
        <w:gridCol w:w="621"/>
        <w:gridCol w:w="895"/>
        <w:gridCol w:w="747"/>
        <w:gridCol w:w="28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6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ind w:left="-1283" w:leftChars="-401" w:firstLine="842" w:firstLineChars="301"/>
              <w:jc w:val="right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申请人姓名</w:t>
            </w:r>
          </w:p>
        </w:tc>
        <w:tc>
          <w:tcPr>
            <w:tcW w:w="222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jc w:val="center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</w:p>
        </w:tc>
        <w:tc>
          <w:tcPr>
            <w:tcW w:w="1642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jc w:val="center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所在部门</w:t>
            </w:r>
          </w:p>
        </w:tc>
        <w:tc>
          <w:tcPr>
            <w:tcW w:w="2809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jc w:val="center"/>
              <w:rPr>
                <w:rFonts w:ascii="仿宋_GB2312" w:hAnsi="宋体" w:eastAsia="仿宋_GB2312"/>
                <w:sz w:val="32"/>
                <w:szCs w:val="32"/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6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ind w:left="-1283" w:leftChars="-401" w:firstLine="842" w:firstLineChars="301"/>
              <w:jc w:val="center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补办手续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ind w:left="-1283" w:leftChars="-401" w:firstLine="842" w:firstLineChars="301"/>
              <w:jc w:val="center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类别</w:t>
            </w:r>
          </w:p>
        </w:tc>
        <w:tc>
          <w:tcPr>
            <w:tcW w:w="6674" w:type="dxa"/>
            <w:gridSpan w:val="5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□因公出差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□年休假□病假□事假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rPr>
                <w:rFonts w:hint="eastAsia" w:ascii="仿宋_GB2312" w:hAnsi="宋体" w:eastAsia="仿宋_GB2312"/>
                <w:sz w:val="32"/>
                <w:szCs w:val="32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□婚假□产假□丧假□其他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0" w:hRule="atLeast"/>
          <w:jc w:val="center"/>
        </w:trPr>
        <w:tc>
          <w:tcPr>
            <w:tcW w:w="16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ind w:left="-1283" w:leftChars="-401" w:firstLine="842" w:firstLineChars="301"/>
              <w:jc w:val="center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/>
                <w:sz w:val="28"/>
                <w:szCs w:val="28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外出天数</w:t>
            </w:r>
          </w:p>
        </w:tc>
        <w:tc>
          <w:tcPr>
            <w:tcW w:w="1602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jc w:val="right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天</w:t>
            </w:r>
          </w:p>
        </w:tc>
        <w:tc>
          <w:tcPr>
            <w:tcW w:w="151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jc w:val="center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外出日期</w:t>
            </w:r>
          </w:p>
        </w:tc>
        <w:tc>
          <w:tcPr>
            <w:tcW w:w="3556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jc w:val="center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至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1" w:hRule="atLeast"/>
          <w:jc w:val="center"/>
        </w:trPr>
        <w:tc>
          <w:tcPr>
            <w:tcW w:w="1638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ind w:firstLine="1"/>
              <w:jc w:val="center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当事人简述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ind w:firstLine="1"/>
              <w:jc w:val="center"/>
              <w:rPr>
                <w:rFonts w:ascii="仿宋_GB2312" w:hAnsi="宋体" w:eastAsia="仿宋_GB2312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/>
                <w:sz w:val="28"/>
                <w:szCs w:val="28"/>
                <w:highlight w:val="none"/>
              </w:rPr>
              <w:t>未提前办理手续的原因</w:t>
            </w:r>
          </w:p>
        </w:tc>
        <w:tc>
          <w:tcPr>
            <w:tcW w:w="6674" w:type="dxa"/>
            <w:gridSpan w:val="5"/>
            <w:noWrap w:val="0"/>
            <w:vAlign w:val="bottom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jc w:val="right"/>
              <w:rPr>
                <w:rFonts w:ascii="仿宋_GB2312" w:hAnsi="宋体" w:eastAsia="仿宋_GB2312"/>
                <w:sz w:val="32"/>
                <w:szCs w:val="32"/>
                <w:highlight w:val="none"/>
              </w:rPr>
            </w:pPr>
            <w:r>
              <w:rPr>
                <w:rFonts w:hint="eastAsia" w:ascii="仿宋_GB2312" w:hAnsi="宋体" w:eastAsia="仿宋_GB2312"/>
                <w:sz w:val="30"/>
                <w:szCs w:val="30"/>
                <w:highlight w:val="none"/>
              </w:rPr>
              <w:t>当事人（签字）：年月日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3" w:hRule="atLeast"/>
          <w:jc w:val="center"/>
        </w:trPr>
        <w:tc>
          <w:tcPr>
            <w:tcW w:w="8312" w:type="dxa"/>
            <w:gridSpan w:val="6"/>
            <w:noWrap w:val="0"/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jc w:val="both"/>
              <w:rPr>
                <w:rFonts w:ascii="仿宋_GB2312" w:hAnsi="宋体" w:eastAsia="仿宋_GB2312"/>
                <w:sz w:val="30"/>
                <w:szCs w:val="30"/>
                <w:highlight w:val="none"/>
              </w:rPr>
            </w:pPr>
            <w:r>
              <w:rPr>
                <w:rFonts w:hint="eastAsia" w:ascii="仿宋_GB2312" w:hAnsi="宋体"/>
                <w:sz w:val="30"/>
                <w:szCs w:val="30"/>
                <w:highlight w:val="none"/>
                <w:lang w:eastAsia="zh-CN"/>
              </w:rPr>
              <w:t>直管</w:t>
            </w:r>
            <w:r>
              <w:rPr>
                <w:rFonts w:hint="eastAsia" w:ascii="仿宋_GB2312" w:hAnsi="宋体" w:eastAsia="仿宋_GB2312"/>
                <w:sz w:val="30"/>
                <w:szCs w:val="30"/>
                <w:highlight w:val="none"/>
              </w:rPr>
              <w:t>上级意见：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ind w:left="-1283" w:leftChars="-401" w:firstLine="902" w:firstLineChars="301"/>
              <w:jc w:val="right"/>
              <w:rPr>
                <w:rFonts w:ascii="仿宋_GB2312" w:hAnsi="宋体" w:eastAsia="仿宋_GB2312"/>
                <w:sz w:val="30"/>
                <w:szCs w:val="30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ind w:left="-1283" w:leftChars="-401" w:firstLine="902" w:firstLineChars="301"/>
              <w:jc w:val="right"/>
              <w:rPr>
                <w:rFonts w:ascii="仿宋_GB2312" w:hAnsi="宋体" w:eastAsia="仿宋_GB2312"/>
                <w:sz w:val="30"/>
                <w:szCs w:val="30"/>
                <w:highlight w:val="none"/>
              </w:rPr>
            </w:pPr>
            <w:r>
              <w:rPr>
                <w:rFonts w:hint="eastAsia" w:ascii="仿宋_GB2312" w:hAnsi="宋体" w:eastAsia="仿宋_GB2312"/>
                <w:sz w:val="30"/>
                <w:szCs w:val="30"/>
                <w:highlight w:val="none"/>
              </w:rPr>
              <w:t>（签字）年月日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6" w:hRule="atLeast"/>
          <w:jc w:val="center"/>
        </w:trPr>
        <w:tc>
          <w:tcPr>
            <w:tcW w:w="8312" w:type="dxa"/>
            <w:gridSpan w:val="6"/>
            <w:noWrap w:val="0"/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jc w:val="both"/>
              <w:rPr>
                <w:rFonts w:ascii="仿宋_GB2312" w:hAnsi="宋体" w:eastAsia="仿宋_GB2312"/>
                <w:sz w:val="30"/>
                <w:szCs w:val="30"/>
                <w:highlight w:val="none"/>
              </w:rPr>
            </w:pPr>
            <w:r>
              <w:rPr>
                <w:rFonts w:hint="eastAsia" w:ascii="仿宋_GB2312" w:hAnsi="宋体" w:eastAsia="仿宋_GB2312"/>
                <w:sz w:val="30"/>
                <w:szCs w:val="30"/>
                <w:highlight w:val="none"/>
              </w:rPr>
              <w:t>公司分管领导意见：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ind w:left="-1283" w:leftChars="-401" w:firstLine="902" w:firstLineChars="301"/>
              <w:jc w:val="right"/>
              <w:rPr>
                <w:rFonts w:ascii="仿宋_GB2312" w:hAnsi="宋体" w:eastAsia="仿宋_GB2312"/>
                <w:sz w:val="30"/>
                <w:szCs w:val="30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jc w:val="right"/>
              <w:rPr>
                <w:rFonts w:ascii="仿宋_GB2312" w:hAnsi="宋体" w:eastAsia="仿宋_GB2312"/>
                <w:sz w:val="30"/>
                <w:szCs w:val="30"/>
                <w:highlight w:val="none"/>
              </w:rPr>
            </w:pPr>
            <w:r>
              <w:rPr>
                <w:rFonts w:hint="eastAsia" w:ascii="仿宋_GB2312" w:hAnsi="宋体" w:eastAsia="仿宋_GB2312"/>
                <w:sz w:val="30"/>
                <w:szCs w:val="30"/>
                <w:highlight w:val="none"/>
              </w:rPr>
              <w:t>（签字）年月日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0" w:hRule="atLeast"/>
          <w:jc w:val="center"/>
        </w:trPr>
        <w:tc>
          <w:tcPr>
            <w:tcW w:w="8312" w:type="dxa"/>
            <w:gridSpan w:val="6"/>
            <w:noWrap w:val="0"/>
            <w:vAlign w:val="top"/>
          </w:tcPr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jc w:val="both"/>
              <w:rPr>
                <w:rFonts w:hint="eastAsia" w:ascii="仿宋_GB2312" w:hAnsi="宋体" w:eastAsia="仿宋_GB2312"/>
                <w:sz w:val="30"/>
                <w:szCs w:val="30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/>
                <w:sz w:val="30"/>
                <w:szCs w:val="30"/>
                <w:highlight w:val="none"/>
              </w:rPr>
              <w:t>公司</w:t>
            </w:r>
            <w:r>
              <w:rPr>
                <w:rFonts w:hint="eastAsia" w:ascii="仿宋_GB2312" w:hAnsi="宋体"/>
                <w:sz w:val="30"/>
                <w:szCs w:val="30"/>
                <w:highlight w:val="none"/>
                <w:lang w:eastAsia="zh-CN"/>
              </w:rPr>
              <w:t>总经理</w:t>
            </w:r>
            <w:r>
              <w:rPr>
                <w:rFonts w:hint="eastAsia" w:ascii="仿宋_GB2312" w:hAnsi="宋体" w:eastAsia="仿宋_GB2312"/>
                <w:sz w:val="30"/>
                <w:szCs w:val="30"/>
                <w:highlight w:val="none"/>
              </w:rPr>
              <w:t>意见：</w:t>
            </w: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ind w:left="-1283" w:leftChars="-401" w:firstLine="902" w:firstLineChars="301"/>
              <w:jc w:val="right"/>
              <w:rPr>
                <w:rFonts w:ascii="仿宋_GB2312" w:hAnsi="宋体" w:eastAsia="仿宋_GB2312"/>
                <w:sz w:val="30"/>
                <w:szCs w:val="30"/>
                <w:highlight w:val="none"/>
              </w:rPr>
            </w:pPr>
          </w:p>
          <w:p>
            <w:pPr>
              <w:keepNext w:val="0"/>
              <w:keepLines w:val="0"/>
              <w:pageBreakBefore w:val="0"/>
              <w:kinsoku/>
              <w:overflowPunct/>
              <w:topLinePunct w:val="0"/>
              <w:bidi w:val="0"/>
              <w:spacing w:line="560" w:lineRule="exact"/>
              <w:ind w:left="-1283" w:leftChars="-401" w:firstLine="902" w:firstLineChars="301"/>
              <w:jc w:val="right"/>
              <w:rPr>
                <w:rFonts w:ascii="仿宋_GB2312" w:hAnsi="宋体" w:eastAsia="仿宋_GB2312"/>
                <w:sz w:val="30"/>
                <w:szCs w:val="30"/>
                <w:highlight w:val="none"/>
              </w:rPr>
            </w:pPr>
            <w:r>
              <w:rPr>
                <w:rFonts w:hint="eastAsia" w:ascii="仿宋_GB2312" w:hAnsi="宋体" w:eastAsia="仿宋_GB2312"/>
                <w:sz w:val="30"/>
                <w:szCs w:val="30"/>
                <w:highlight w:val="none"/>
              </w:rPr>
              <w:t>（签字）年月日</w:t>
            </w:r>
          </w:p>
        </w:tc>
      </w:tr>
    </w:tbl>
    <w:p>
      <w:pPr>
        <w:keepNext w:val="0"/>
        <w:keepLines w:val="0"/>
        <w:pageBreakBefore w:val="0"/>
        <w:kinsoku/>
        <w:overflowPunct/>
        <w:topLinePunct w:val="0"/>
        <w:bidi w:val="0"/>
        <w:spacing w:line="560" w:lineRule="exact"/>
        <w:jc w:val="center"/>
        <w:rPr>
          <w:rFonts w:ascii="小标宋" w:hAnsi="宋体" w:eastAsia="小标宋"/>
          <w:sz w:val="36"/>
          <w:szCs w:val="36"/>
          <w:highlight w:val="none"/>
        </w:rPr>
      </w:pPr>
      <w:r>
        <w:rPr>
          <w:rFonts w:hint="eastAsia" w:ascii="小标宋" w:hAnsi="宋体" w:eastAsia="小标宋"/>
          <w:sz w:val="36"/>
          <w:szCs w:val="36"/>
          <w:highlight w:val="none"/>
        </w:rPr>
        <w:t>事后补办外出手续申请表</w:t>
      </w:r>
    </w:p>
    <w:p>
      <w:pPr>
        <w:keepNext w:val="0"/>
        <w:keepLines w:val="0"/>
        <w:pageBreakBefore w:val="0"/>
        <w:tabs>
          <w:tab w:val="left" w:pos="6480"/>
        </w:tabs>
        <w:kinsoku/>
        <w:overflowPunct/>
        <w:topLinePunct w:val="0"/>
        <w:bidi w:val="0"/>
        <w:spacing w:line="560" w:lineRule="exact"/>
        <w:rPr>
          <w:highlight w:val="none"/>
        </w:rPr>
      </w:pPr>
      <w:r>
        <w:rPr>
          <w:rFonts w:hint="eastAsia" w:ascii="仿宋_GB2312" w:hAnsi="宋体" w:eastAsia="仿宋_GB2312"/>
          <w:sz w:val="30"/>
          <w:szCs w:val="30"/>
          <w:highlight w:val="none"/>
        </w:rPr>
        <w:t>注：部门负责人补办手续需签至公司</w:t>
      </w:r>
      <w:r>
        <w:rPr>
          <w:rFonts w:hint="eastAsia" w:ascii="仿宋_GB2312" w:hAnsi="宋体"/>
          <w:sz w:val="30"/>
          <w:szCs w:val="30"/>
          <w:highlight w:val="none"/>
          <w:lang w:eastAsia="zh-CN"/>
        </w:rPr>
        <w:t>总经理</w:t>
      </w:r>
      <w:r>
        <w:rPr>
          <w:rFonts w:hint="eastAsia" w:ascii="仿宋_GB2312" w:hAnsi="宋体" w:eastAsia="仿宋_GB2312"/>
          <w:sz w:val="30"/>
          <w:szCs w:val="30"/>
          <w:highlight w:val="none"/>
        </w:rPr>
        <w:t>，其他人员签至公司分管领导。</w:t>
      </w:r>
    </w:p>
    <w:p>
      <w:pPr>
        <w:keepNext w:val="0"/>
        <w:keepLines w:val="0"/>
        <w:pageBreakBefore w:val="0"/>
        <w:kinsoku/>
        <w:overflowPunct/>
        <w:topLinePunct w:val="0"/>
        <w:bidi w:val="0"/>
        <w:spacing w:line="560" w:lineRule="exact"/>
        <w:rPr>
          <w:rFonts w:hint="eastAsia" w:ascii="黑体" w:hAnsi="黑体" w:eastAsia="黑体" w:cs="黑体"/>
          <w:b w:val="0"/>
          <w:i w:val="0"/>
          <w:sz w:val="32"/>
          <w:szCs w:val="32"/>
          <w:highlight w:val="none"/>
        </w:rPr>
      </w:pPr>
    </w:p>
    <w:p>
      <w:pPr>
        <w:keepNext w:val="0"/>
        <w:keepLines w:val="0"/>
        <w:pageBreakBefore w:val="0"/>
        <w:kinsoku/>
        <w:overflowPunct/>
        <w:topLinePunct w:val="0"/>
        <w:bidi w:val="0"/>
        <w:spacing w:line="560" w:lineRule="exact"/>
        <w:rPr>
          <w:rFonts w:ascii="黑体" w:hAnsi="黑体" w:eastAsia="黑体" w:cs="黑体"/>
          <w:sz w:val="32"/>
          <w:szCs w:val="32"/>
          <w:highlight w:val="none"/>
        </w:rPr>
      </w:pPr>
      <w:r>
        <w:rPr>
          <w:rFonts w:hint="eastAsia" w:ascii="黑体" w:hAnsi="黑体" w:eastAsia="黑体" w:cs="黑体"/>
          <w:b w:val="0"/>
          <w:i w:val="0"/>
          <w:sz w:val="32"/>
          <w:szCs w:val="32"/>
          <w:highlight w:val="none"/>
        </w:rPr>
        <w:t>附件</w:t>
      </w:r>
      <w:r>
        <w:rPr>
          <w:rFonts w:hint="eastAsia" w:ascii="黑体" w:hAnsi="黑体" w:eastAsia="黑体" w:cs="黑体"/>
          <w:b w:val="0"/>
          <w:i w:val="0"/>
          <w:sz w:val="32"/>
          <w:szCs w:val="32"/>
          <w:highlight w:val="none"/>
          <w:lang w:val="en-US" w:eastAsia="zh-CN"/>
        </w:rPr>
        <w:t>二</w:t>
      </w:r>
    </w:p>
    <w:p>
      <w:pPr>
        <w:keepNext w:val="0"/>
        <w:keepLines w:val="0"/>
        <w:pageBreakBefore w:val="0"/>
        <w:kinsoku/>
        <w:overflowPunct/>
        <w:topLinePunct w:val="0"/>
        <w:bidi w:val="0"/>
        <w:spacing w:line="560" w:lineRule="exact"/>
        <w:jc w:val="center"/>
        <w:rPr>
          <w:rFonts w:hint="eastAsia" w:ascii="小标宋" w:hAnsi="宋体" w:eastAsia="小标宋"/>
          <w:sz w:val="36"/>
          <w:szCs w:val="36"/>
          <w:highlight w:val="none"/>
          <w:lang w:eastAsia="zh-CN"/>
        </w:rPr>
      </w:pPr>
      <w:r>
        <w:rPr>
          <w:rFonts w:hint="eastAsia" w:ascii="小标宋" w:hAnsi="宋体" w:eastAsia="小标宋"/>
          <w:sz w:val="36"/>
          <w:szCs w:val="36"/>
          <w:highlight w:val="none"/>
          <w:lang w:eastAsia="zh-CN"/>
        </w:rPr>
        <w:t>杭州交投智慧交通产业发展有限公司</w:t>
      </w:r>
    </w:p>
    <w:p>
      <w:pPr>
        <w:jc w:val="center"/>
        <w:rPr>
          <w:rFonts w:hint="eastAsia" w:ascii="小标宋" w:hAnsi="宋体" w:eastAsia="小标宋" w:cs="宋体"/>
          <w:kern w:val="0"/>
          <w:sz w:val="36"/>
          <w:szCs w:val="36"/>
          <w:highlight w:val="none"/>
        </w:rPr>
      </w:pPr>
      <w:r>
        <w:rPr>
          <w:rFonts w:hint="eastAsia" w:ascii="小标宋" w:hAnsi="宋体" w:eastAsia="小标宋" w:cs="宋体"/>
          <w:kern w:val="0"/>
          <w:sz w:val="36"/>
          <w:szCs w:val="36"/>
          <w:highlight w:val="none"/>
        </w:rPr>
        <w:t>加班工资审批表</w:t>
      </w:r>
    </w:p>
    <w:tbl>
      <w:tblPr>
        <w:tblStyle w:val="4"/>
        <w:tblpPr w:leftFromText="180" w:rightFromText="180" w:vertAnchor="page" w:horzAnchor="page" w:tblpXSpec="center" w:tblpY="4047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1260"/>
        <w:gridCol w:w="540"/>
        <w:gridCol w:w="1800"/>
        <w:gridCol w:w="540"/>
        <w:gridCol w:w="2971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部门</w:t>
            </w:r>
          </w:p>
        </w:tc>
        <w:tc>
          <w:tcPr>
            <w:tcW w:w="180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  <w:lang w:eastAsia="zh-CN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填报日期</w:t>
            </w:r>
          </w:p>
        </w:tc>
        <w:tc>
          <w:tcPr>
            <w:tcW w:w="351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年月日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26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加班时间</w:t>
            </w:r>
          </w:p>
        </w:tc>
        <w:tc>
          <w:tcPr>
            <w:tcW w:w="2880" w:type="dxa"/>
            <w:gridSpan w:val="3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加班人员名单</w:t>
            </w:r>
          </w:p>
        </w:tc>
        <w:tc>
          <w:tcPr>
            <w:tcW w:w="29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加班理由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9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月</w:t>
            </w: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日</w:t>
            </w:r>
          </w:p>
        </w:tc>
        <w:tc>
          <w:tcPr>
            <w:tcW w:w="2880" w:type="dxa"/>
            <w:gridSpan w:val="3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</w:p>
        </w:tc>
        <w:tc>
          <w:tcPr>
            <w:tcW w:w="29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3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</w:p>
        </w:tc>
        <w:tc>
          <w:tcPr>
            <w:tcW w:w="12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</w:p>
        </w:tc>
        <w:tc>
          <w:tcPr>
            <w:tcW w:w="28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</w:p>
        </w:tc>
        <w:tc>
          <w:tcPr>
            <w:tcW w:w="297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9" w:hRule="atLeast"/>
          <w:jc w:val="center"/>
        </w:trPr>
        <w:tc>
          <w:tcPr>
            <w:tcW w:w="26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部门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意见</w:t>
            </w:r>
          </w:p>
        </w:tc>
        <w:tc>
          <w:tcPr>
            <w:tcW w:w="585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65" w:hRule="atLeast"/>
          <w:jc w:val="center"/>
        </w:trPr>
        <w:tc>
          <w:tcPr>
            <w:tcW w:w="26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spacing w:line="400" w:lineRule="exact"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cs="宋体"/>
                <w:kern w:val="0"/>
                <w:sz w:val="28"/>
                <w:szCs w:val="28"/>
                <w:highlight w:val="none"/>
                <w:lang w:eastAsia="zh-CN"/>
              </w:rPr>
              <w:t>综合办公室</w:t>
            </w: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意见</w:t>
            </w:r>
          </w:p>
        </w:tc>
        <w:tc>
          <w:tcPr>
            <w:tcW w:w="585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0" w:hRule="atLeast"/>
          <w:jc w:val="center"/>
        </w:trPr>
        <w:tc>
          <w:tcPr>
            <w:tcW w:w="26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分管领导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审批意见</w:t>
            </w:r>
          </w:p>
        </w:tc>
        <w:tc>
          <w:tcPr>
            <w:tcW w:w="585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0" w:hRule="atLeast"/>
          <w:jc w:val="center"/>
        </w:trPr>
        <w:tc>
          <w:tcPr>
            <w:tcW w:w="26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  <w:lang w:eastAsia="zh-CN"/>
              </w:rPr>
              <w:t>总经理</w:t>
            </w:r>
          </w:p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  <w:t>审批意见</w:t>
            </w:r>
          </w:p>
        </w:tc>
        <w:tc>
          <w:tcPr>
            <w:tcW w:w="5851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仿宋_GB2312" w:hAnsi="宋体" w:eastAsia="仿宋_GB2312" w:cs="宋体"/>
                <w:kern w:val="0"/>
                <w:sz w:val="28"/>
                <w:szCs w:val="28"/>
                <w:highlight w:val="none"/>
              </w:rPr>
            </w:pPr>
          </w:p>
        </w:tc>
      </w:tr>
    </w:tbl>
    <w:p/>
    <w:p>
      <w:pPr>
        <w:pStyle w:val="2"/>
      </w:pPr>
    </w:p>
    <w:p>
      <w:pPr>
        <w:rPr>
          <w:rFonts w:hint="eastAsia" w:eastAsia="仿宋_GB2312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小标宋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3973D4"/>
    <w:multiLevelType w:val="singleLevel"/>
    <w:tmpl w:val="963973D4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9830A31B"/>
    <w:multiLevelType w:val="singleLevel"/>
    <w:tmpl w:val="9830A31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B1A0DE0B"/>
    <w:multiLevelType w:val="singleLevel"/>
    <w:tmpl w:val="B1A0DE0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3">
    <w:nsid w:val="D0C70B3F"/>
    <w:multiLevelType w:val="singleLevel"/>
    <w:tmpl w:val="D0C70B3F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15FFB75"/>
    <w:multiLevelType w:val="singleLevel"/>
    <w:tmpl w:val="015FFB75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47E450A6"/>
    <w:multiLevelType w:val="singleLevel"/>
    <w:tmpl w:val="47E450A6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WYxZjUyZDlmNWE3ZTZmYjQ4ZmY5YWE2YTIzYjY1ZGQifQ=="/>
  </w:docVars>
  <w:rsids>
    <w:rsidRoot w:val="00000000"/>
    <w:rsid w:val="03AE3AF3"/>
    <w:rsid w:val="0A051F93"/>
    <w:rsid w:val="0F441644"/>
    <w:rsid w:val="0FA436B7"/>
    <w:rsid w:val="12EE333C"/>
    <w:rsid w:val="135D699C"/>
    <w:rsid w:val="16805CEE"/>
    <w:rsid w:val="179130B8"/>
    <w:rsid w:val="1ADD03C2"/>
    <w:rsid w:val="1B7F48B0"/>
    <w:rsid w:val="217E7005"/>
    <w:rsid w:val="21C4408A"/>
    <w:rsid w:val="268362C1"/>
    <w:rsid w:val="2BA75523"/>
    <w:rsid w:val="30F20186"/>
    <w:rsid w:val="33E365F1"/>
    <w:rsid w:val="33FB7DDF"/>
    <w:rsid w:val="35371D54"/>
    <w:rsid w:val="3A485400"/>
    <w:rsid w:val="40B06A01"/>
    <w:rsid w:val="415C521C"/>
    <w:rsid w:val="437254D9"/>
    <w:rsid w:val="48300F33"/>
    <w:rsid w:val="48C91E02"/>
    <w:rsid w:val="4C9B29D4"/>
    <w:rsid w:val="53952781"/>
    <w:rsid w:val="55181D50"/>
    <w:rsid w:val="5ABB5725"/>
    <w:rsid w:val="5C687171"/>
    <w:rsid w:val="61E92327"/>
    <w:rsid w:val="62061579"/>
    <w:rsid w:val="64630F05"/>
    <w:rsid w:val="64656A2B"/>
    <w:rsid w:val="64EA6F30"/>
    <w:rsid w:val="669929BC"/>
    <w:rsid w:val="672D6CDB"/>
    <w:rsid w:val="69004F74"/>
    <w:rsid w:val="6A38638A"/>
    <w:rsid w:val="6A6E2F51"/>
    <w:rsid w:val="6EEB7643"/>
    <w:rsid w:val="747F6E5D"/>
    <w:rsid w:val="74956EB9"/>
    <w:rsid w:val="764F13E6"/>
    <w:rsid w:val="7875635D"/>
    <w:rsid w:val="799A6D1F"/>
    <w:rsid w:val="7D496A92"/>
    <w:rsid w:val="7FB1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3"/>
    <w:qFormat/>
    <w:uiPriority w:val="99"/>
    <w:pPr>
      <w:adjustRightInd w:val="0"/>
      <w:spacing w:line="360" w:lineRule="atLeast"/>
      <w:ind w:firstLine="482"/>
      <w:textAlignment w:val="baseline"/>
    </w:pPr>
    <w:rPr>
      <w:rFonts w:ascii="Times New Roman" w:hAnsi="Times New Roman"/>
      <w:kern w:val="0"/>
      <w:sz w:val="24"/>
      <w:szCs w:val="20"/>
    </w:rPr>
  </w:style>
  <w:style w:type="paragraph" w:styleId="3">
    <w:name w:val="Body Text"/>
    <w:basedOn w:val="1"/>
    <w:next w:val="1"/>
    <w:unhideWhenUsed/>
    <w:qFormat/>
    <w:uiPriority w:val="99"/>
    <w:pPr>
      <w:widowControl/>
      <w:spacing w:after="120"/>
      <w:jc w:val="left"/>
    </w:pPr>
    <w:rPr>
      <w:kern w:val="0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4957</Words>
  <Characters>5025</Characters>
  <Lines>0</Lines>
  <Paragraphs>0</Paragraphs>
  <TotalTime>24</TotalTime>
  <ScaleCrop>false</ScaleCrop>
  <LinksUpToDate>false</LinksUpToDate>
  <CharactersWithSpaces>5120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2023-07-20T07:47:00Z</dcterms:created>
  <dc:creator>Administrator</dc:creator>
  <cp:lastModifiedBy>沈涌</cp:lastModifiedBy>
  <dcterms:modified xsi:type="dcterms:W3CDTF">2023-12-20T08:43:39Z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1E7E98E840FF4BC6A869936C5B28D27F_12</vt:lpwstr>
  </property>
</Properties>
</file>