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06D6E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rPr>
          <w:rFonts w:ascii="仿宋_GB2312" w:cs="仿宋_GB2312"/>
          <w:color w:val="auto"/>
          <w:highlight w:val="none"/>
          <w:u w:val="none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u w:val="none"/>
        </w:rPr>
        <w:t>公务交通费用使用及报销管理办法（试行）</w:t>
      </w:r>
    </w:p>
    <w:p w14:paraId="010FEC32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第一条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根据《杭州市国有企业公务用车制度改革实施意见》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为加强和规范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eastAsia="zh-CN"/>
        </w:rPr>
        <w:t>杭州交投智慧交通产业发展有限公司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（以下简称“公司”）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公务交通费用管理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推进厉行节约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反对浪费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规范报销程序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根据公司实际情况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制定本办法。</w:t>
      </w:r>
    </w:p>
    <w:p w14:paraId="363ACECC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第二条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公务交通费用是指公司领导班子人员在杭州市内因公务活动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通过公共交通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社会化出行所产生的交通费用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杭州市以外的公务出行根据公司有关差旅费管理规定执行。</w:t>
      </w:r>
    </w:p>
    <w:p w14:paraId="7520CE8E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第三条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公司公务交通费用报销为：公司领导班子报销上限为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1300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元/月。</w:t>
      </w:r>
    </w:p>
    <w:p w14:paraId="1C9C9D21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第四条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公务交通费用报销必须严格执行据实报销原则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仅限于真实公务出行的正常开支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严禁实行每月或其他定期固定数额报销。</w:t>
      </w:r>
    </w:p>
    <w:p w14:paraId="36DE0746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第五条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公务交通费用报销应确保相关凭据的合规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真实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完整。公共交通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社会化出行发生费用的报销凭据应为按次结算的合规票据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并按要求填列公务交通费清单（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附件）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明确时间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起止点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公务活动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金额等内容。私车公用产生的相关票据不得用于公务交通费用报销。</w:t>
      </w:r>
    </w:p>
    <w:p w14:paraId="1AE49EE0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第六条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公务交通费用报销由公司</w:t>
      </w:r>
      <w:r>
        <w:rPr>
          <w:rFonts w:hint="eastAsia" w:ascii="仿宋_GB2312"/>
          <w:color w:val="auto"/>
          <w:sz w:val="32"/>
          <w:szCs w:val="32"/>
          <w:highlight w:val="none"/>
          <w:u w:val="none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确认和登记。</w:t>
      </w:r>
    </w:p>
    <w:p w14:paraId="1E4289CE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第七条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公司</w:t>
      </w:r>
      <w:r>
        <w:rPr>
          <w:rFonts w:hint="eastAsia" w:ascii="仿宋_GB2312"/>
          <w:color w:val="auto"/>
          <w:sz w:val="32"/>
          <w:szCs w:val="32"/>
          <w:highlight w:val="none"/>
          <w:u w:val="none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应建立公务交通费台账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指定专人负责按月做好公司公务交通费用的统计。</w:t>
      </w:r>
    </w:p>
    <w:p w14:paraId="7E2B4F01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第八条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超范围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超标准开支的公务交通费用的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超支部分由个人自理。</w:t>
      </w:r>
    </w:p>
    <w:p w14:paraId="5B45C5A5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第九条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加强对公务交通费用使用报销的监督管理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相关审核审批人员要对公务出行的真实性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必要性进行审核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财务要对公务交通费用报销票据的合法性进行把关。</w:t>
      </w:r>
    </w:p>
    <w:p w14:paraId="2CA02281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本办法由公司财务会同</w:t>
      </w:r>
      <w:r>
        <w:rPr>
          <w:rFonts w:hint="eastAsia" w:ascii="仿宋_GB2312"/>
          <w:color w:val="auto"/>
          <w:sz w:val="32"/>
          <w:szCs w:val="32"/>
          <w:highlight w:val="none"/>
          <w:u w:val="none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负责解释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自印发之日起施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 w14:paraId="06260344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</w:p>
    <w:p w14:paraId="63BD5B08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附件：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交投智慧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公司公务交通费清单</w:t>
      </w:r>
    </w:p>
    <w:p w14:paraId="7B78ED1E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/>
          <w:color w:val="auto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39DB668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ascii="黑体" w:hAnsi="黑体" w:eastAsia="黑体" w:cs="黑体"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u w:val="none"/>
        </w:rPr>
        <w:t>附件</w:t>
      </w:r>
    </w:p>
    <w:p w14:paraId="3D6F18A5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rPr>
          <w:rFonts w:ascii="小标宋" w:hAnsi="小标宋" w:eastAsia="小标宋" w:cs="小标宋"/>
          <w:color w:val="auto"/>
          <w:sz w:val="44"/>
          <w:szCs w:val="44"/>
          <w:highlight w:val="none"/>
          <w:u w:val="none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u w:val="none"/>
          <w:lang w:eastAsia="zh-CN"/>
        </w:rPr>
        <w:t>交投智慧</w:t>
      </w: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u w:val="none"/>
        </w:rPr>
        <w:t>公司公务交通费清单</w:t>
      </w:r>
    </w:p>
    <w:p w14:paraId="7383C13F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rPr>
          <w:rFonts w:ascii="楷体_GB2312" w:hAnsi="楷体_GB2312" w:eastAsia="楷体_GB2312" w:cs="楷体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u w:val="none"/>
        </w:rPr>
        <w:t>（公共交通、社会化出行）</w:t>
      </w:r>
    </w:p>
    <w:p w14:paraId="09D724D7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10800" w:firstLineChars="3375"/>
        <w:rPr>
          <w:rFonts w:ascii="仿宋_GB2312" w:cs="仿宋_GB2312"/>
          <w:color w:val="auto"/>
          <w:szCs w:val="32"/>
          <w:highlight w:val="none"/>
          <w:u w:val="none"/>
        </w:rPr>
      </w:pPr>
      <w:r>
        <w:rPr>
          <w:rFonts w:hint="eastAsia" w:ascii="仿宋_GB2312" w:cs="仿宋_GB2312"/>
          <w:color w:val="auto"/>
          <w:szCs w:val="32"/>
          <w:highlight w:val="none"/>
          <w:u w:val="none"/>
        </w:rPr>
        <w:t xml:space="preserve">          年</w:t>
      </w:r>
    </w:p>
    <w:tbl>
      <w:tblPr>
        <w:tblStyle w:val="4"/>
        <w:tblW w:w="142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1"/>
        <w:gridCol w:w="1755"/>
        <w:gridCol w:w="1757"/>
        <w:gridCol w:w="2617"/>
        <w:gridCol w:w="1620"/>
        <w:gridCol w:w="1440"/>
        <w:gridCol w:w="1922"/>
      </w:tblGrid>
      <w:tr w14:paraId="7CF6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3B869A2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时间</w:t>
            </w:r>
          </w:p>
        </w:tc>
        <w:tc>
          <w:tcPr>
            <w:tcW w:w="1755" w:type="dxa"/>
            <w:vAlign w:val="center"/>
          </w:tcPr>
          <w:p w14:paraId="40D1FF05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出发地</w:t>
            </w:r>
          </w:p>
        </w:tc>
        <w:tc>
          <w:tcPr>
            <w:tcW w:w="1757" w:type="dxa"/>
            <w:vAlign w:val="center"/>
          </w:tcPr>
          <w:p w14:paraId="6083783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目的地</w:t>
            </w:r>
          </w:p>
        </w:tc>
        <w:tc>
          <w:tcPr>
            <w:tcW w:w="2617" w:type="dxa"/>
            <w:vAlign w:val="center"/>
          </w:tcPr>
          <w:p w14:paraId="09CB2CB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公务内容</w:t>
            </w:r>
          </w:p>
        </w:tc>
        <w:tc>
          <w:tcPr>
            <w:tcW w:w="1620" w:type="dxa"/>
            <w:vAlign w:val="center"/>
          </w:tcPr>
          <w:p w14:paraId="62946E3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类型</w:t>
            </w:r>
          </w:p>
        </w:tc>
        <w:tc>
          <w:tcPr>
            <w:tcW w:w="1440" w:type="dxa"/>
            <w:vAlign w:val="center"/>
          </w:tcPr>
          <w:p w14:paraId="11C241F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金额</w:t>
            </w:r>
          </w:p>
        </w:tc>
        <w:tc>
          <w:tcPr>
            <w:tcW w:w="1922" w:type="dxa"/>
            <w:vAlign w:val="center"/>
          </w:tcPr>
          <w:p w14:paraId="63D0EDF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黑体" w:hAnsi="黑体" w:eastAsia="黑体" w:cs="仿宋_GB2312"/>
                <w:bCs/>
                <w:color w:val="auto"/>
                <w:sz w:val="28"/>
                <w:szCs w:val="28"/>
                <w:highlight w:val="none"/>
                <w:u w:val="none"/>
              </w:rPr>
              <w:t>出行人</w:t>
            </w:r>
          </w:p>
        </w:tc>
      </w:tr>
      <w:tr w14:paraId="7A144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5C3CE5F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 w:firstLine="420" w:firstLineChars="150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月   日   时   分</w:t>
            </w:r>
          </w:p>
        </w:tc>
        <w:tc>
          <w:tcPr>
            <w:tcW w:w="1755" w:type="dxa"/>
            <w:vAlign w:val="center"/>
          </w:tcPr>
          <w:p w14:paraId="38BEB7AB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757" w:type="dxa"/>
            <w:vAlign w:val="center"/>
          </w:tcPr>
          <w:p w14:paraId="20DF205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2617" w:type="dxa"/>
            <w:vAlign w:val="center"/>
          </w:tcPr>
          <w:p w14:paraId="06368E4A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3591282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05699C6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922" w:type="dxa"/>
            <w:vAlign w:val="center"/>
          </w:tcPr>
          <w:p w14:paraId="467C830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</w:tr>
      <w:tr w14:paraId="2CC9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07F5237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 w:firstLine="420" w:firstLineChars="150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月   日   时   分</w:t>
            </w:r>
          </w:p>
        </w:tc>
        <w:tc>
          <w:tcPr>
            <w:tcW w:w="1755" w:type="dxa"/>
            <w:vAlign w:val="center"/>
          </w:tcPr>
          <w:p w14:paraId="7E88D91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757" w:type="dxa"/>
            <w:vAlign w:val="center"/>
          </w:tcPr>
          <w:p w14:paraId="334C42F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2617" w:type="dxa"/>
            <w:vAlign w:val="center"/>
          </w:tcPr>
          <w:p w14:paraId="19277E8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22C74DC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62C2241A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922" w:type="dxa"/>
            <w:vAlign w:val="center"/>
          </w:tcPr>
          <w:p w14:paraId="3ABE352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</w:tr>
      <w:tr w14:paraId="7858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65FDF0C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 w:firstLine="420" w:firstLineChars="150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月   日   时   分</w:t>
            </w:r>
          </w:p>
        </w:tc>
        <w:tc>
          <w:tcPr>
            <w:tcW w:w="1755" w:type="dxa"/>
            <w:vAlign w:val="center"/>
          </w:tcPr>
          <w:p w14:paraId="0056085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757" w:type="dxa"/>
            <w:vAlign w:val="center"/>
          </w:tcPr>
          <w:p w14:paraId="5D37658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2617" w:type="dxa"/>
            <w:vAlign w:val="center"/>
          </w:tcPr>
          <w:p w14:paraId="14305BD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541FD3E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4FEFE45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922" w:type="dxa"/>
            <w:vAlign w:val="center"/>
          </w:tcPr>
          <w:p w14:paraId="43C59F5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</w:tr>
      <w:tr w14:paraId="3879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6436A3B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 w:firstLine="420" w:firstLineChars="150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月   日   时   分</w:t>
            </w:r>
          </w:p>
        </w:tc>
        <w:tc>
          <w:tcPr>
            <w:tcW w:w="1755" w:type="dxa"/>
            <w:vAlign w:val="center"/>
          </w:tcPr>
          <w:p w14:paraId="594266B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757" w:type="dxa"/>
            <w:vAlign w:val="center"/>
          </w:tcPr>
          <w:p w14:paraId="3461964A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2617" w:type="dxa"/>
            <w:vAlign w:val="center"/>
          </w:tcPr>
          <w:p w14:paraId="0700110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54A6AE7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3BA29F3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922" w:type="dxa"/>
            <w:vAlign w:val="center"/>
          </w:tcPr>
          <w:p w14:paraId="6E83AE6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</w:tr>
      <w:tr w14:paraId="0516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1F877CE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 w:firstLine="420" w:firstLineChars="150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月   日   时   分</w:t>
            </w:r>
          </w:p>
        </w:tc>
        <w:tc>
          <w:tcPr>
            <w:tcW w:w="1755" w:type="dxa"/>
            <w:vAlign w:val="center"/>
          </w:tcPr>
          <w:p w14:paraId="13DDE42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757" w:type="dxa"/>
            <w:vAlign w:val="center"/>
          </w:tcPr>
          <w:p w14:paraId="15DEC1C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2617" w:type="dxa"/>
            <w:vAlign w:val="center"/>
          </w:tcPr>
          <w:p w14:paraId="2904073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6D72398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6F0A536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922" w:type="dxa"/>
            <w:vAlign w:val="center"/>
          </w:tcPr>
          <w:p w14:paraId="4B15B505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</w:tr>
      <w:tr w14:paraId="0AAB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7D99C6FC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 w:firstLine="420" w:firstLineChars="150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月   日   时   分</w:t>
            </w:r>
          </w:p>
        </w:tc>
        <w:tc>
          <w:tcPr>
            <w:tcW w:w="1755" w:type="dxa"/>
            <w:vAlign w:val="center"/>
          </w:tcPr>
          <w:p w14:paraId="5E55CCE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757" w:type="dxa"/>
            <w:vAlign w:val="center"/>
          </w:tcPr>
          <w:p w14:paraId="14C9394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2617" w:type="dxa"/>
            <w:vAlign w:val="center"/>
          </w:tcPr>
          <w:p w14:paraId="30F0C93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562A96C5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440" w:type="dxa"/>
            <w:vAlign w:val="center"/>
          </w:tcPr>
          <w:p w14:paraId="3EEE8EB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  <w:tc>
          <w:tcPr>
            <w:tcW w:w="1922" w:type="dxa"/>
            <w:vAlign w:val="center"/>
          </w:tcPr>
          <w:p w14:paraId="2AFF923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</w:p>
        </w:tc>
      </w:tr>
      <w:tr w14:paraId="65B0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151" w:type="dxa"/>
            <w:vAlign w:val="center"/>
          </w:tcPr>
          <w:p w14:paraId="2D92D66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备注</w:t>
            </w:r>
          </w:p>
        </w:tc>
        <w:tc>
          <w:tcPr>
            <w:tcW w:w="11111" w:type="dxa"/>
            <w:gridSpan w:val="6"/>
            <w:vAlign w:val="center"/>
          </w:tcPr>
          <w:p w14:paraId="679B925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rPr>
                <w:rFonts w:ascii="仿宋_GB2312" w:cs="仿宋_GB2312"/>
                <w:color w:val="auto"/>
                <w:sz w:val="28"/>
                <w:szCs w:val="28"/>
                <w:highlight w:val="none"/>
                <w:u w:val="none"/>
              </w:rPr>
            </w:pP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出行类型分为：公交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地铁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营运出租车等公共交通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  <w:lang w:eastAsia="zh-CN"/>
              </w:rPr>
              <w:t>，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滴滴快车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cs="仿宋_GB2312"/>
                <w:color w:val="auto"/>
                <w:sz w:val="28"/>
                <w:szCs w:val="28"/>
                <w:highlight w:val="none"/>
                <w:u w:val="none"/>
              </w:rPr>
              <w:t>神州专车等社会化出行。</w:t>
            </w:r>
          </w:p>
        </w:tc>
      </w:tr>
    </w:tbl>
    <w:p w14:paraId="7A87653B">
      <w:pPr>
        <w:pStyle w:val="2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/>
          <w:color w:val="auto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C81FC23"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43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21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2BE0A08"/>
    <w:rsid w:val="092274C5"/>
    <w:rsid w:val="4787705C"/>
    <w:rsid w:val="541362E8"/>
    <w:rsid w:val="6024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3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customStyle="1" w:styleId="6">
    <w:name w:val="_Style 2"/>
    <w:basedOn w:val="1"/>
    <w:autoRedefine/>
    <w:qFormat/>
    <w:uiPriority w:val="0"/>
    <w:pPr>
      <w:ind w:firstLine="200" w:firstLineChars="200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742</Words>
  <Characters>745</Characters>
  <Lines>0</Lines>
  <Paragraphs>0</Paragraphs>
  <TotalTime>0</TotalTime>
  <ScaleCrop>false</ScaleCrop>
  <LinksUpToDate>false</LinksUpToDate>
  <CharactersWithSpaces>829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2024-03-01T02:18:00Z</dcterms:created>
  <dc:creator>Administrator</dc:creator>
  <cp:lastModifiedBy>沈涌</cp:lastModifiedBy>
  <dcterms:modified xsi:type="dcterms:W3CDTF">2024-07-24T02:39:23Z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54C76D38FFB1401AA33755A789B67EFA_12</vt:lpwstr>
  </property>
</Properties>
</file>