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1157B">
      <w:pPr>
        <w:spacing w:before="205" w:line="222" w:lineRule="auto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"/>
          <w:sz w:val="32"/>
          <w:szCs w:val="32"/>
        </w:rPr>
        <w:t>岗位</w:t>
      </w:r>
      <w:r>
        <w:rPr>
          <w:rFonts w:hint="eastAsia" w:ascii="黑体" w:hAnsi="黑体" w:eastAsia="黑体" w:cs="黑体"/>
          <w:spacing w:val="-1"/>
          <w:sz w:val="32"/>
          <w:szCs w:val="32"/>
          <w:lang w:eastAsia="zh-CN"/>
        </w:rPr>
        <w:t>廉洁</w:t>
      </w:r>
      <w:r>
        <w:rPr>
          <w:rFonts w:ascii="黑体" w:hAnsi="黑体" w:eastAsia="黑体" w:cs="黑体"/>
          <w:spacing w:val="-1"/>
          <w:sz w:val="32"/>
          <w:szCs w:val="32"/>
        </w:rPr>
        <w:t>风险清单</w:t>
      </w:r>
    </w:p>
    <w:p w14:paraId="71ED0574">
      <w:pPr>
        <w:spacing w:before="201" w:line="219" w:lineRule="auto"/>
        <w:ind w:left="36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岗位：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 xml:space="preserve">董事长、总经理      </w:t>
      </w:r>
      <w:r>
        <w:rPr>
          <w:rFonts w:ascii="宋体" w:hAnsi="宋体" w:eastAsia="宋体" w:cs="宋体"/>
          <w:spacing w:val="1"/>
          <w:sz w:val="24"/>
          <w:szCs w:val="24"/>
        </w:rPr>
        <w:t>填报人：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许泉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 xml:space="preserve">    责任领导（签字）:</w:t>
      </w:r>
    </w:p>
    <w:tbl>
      <w:tblPr>
        <w:tblStyle w:val="5"/>
        <w:tblW w:w="94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3"/>
        <w:gridCol w:w="4107"/>
        <w:gridCol w:w="4006"/>
      </w:tblGrid>
      <w:tr w14:paraId="5A8FA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4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C25EB">
            <w:pPr>
              <w:snapToGrid w:val="0"/>
              <w:spacing w:before="271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z w:val="25"/>
                <w:szCs w:val="25"/>
              </w:rPr>
              <w:t>排查类别</w:t>
            </w:r>
          </w:p>
        </w:tc>
        <w:tc>
          <w:tcPr>
            <w:tcW w:w="41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DF252">
            <w:pPr>
              <w:snapToGrid w:val="0"/>
              <w:spacing w:before="281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主要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5"/>
                <w:szCs w:val="25"/>
                <w:lang w:eastAsia="zh-CN"/>
              </w:rPr>
              <w:t>廉洁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风险</w:t>
            </w:r>
          </w:p>
        </w:tc>
        <w:tc>
          <w:tcPr>
            <w:tcW w:w="40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11969C3">
            <w:pPr>
              <w:snapToGrid w:val="0"/>
              <w:spacing w:before="281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5"/>
                <w:szCs w:val="25"/>
                <w:lang w:val="en-US" w:eastAsia="zh-CN"/>
              </w:rPr>
              <w:t>风险防控措施</w:t>
            </w:r>
          </w:p>
        </w:tc>
      </w:tr>
      <w:tr w14:paraId="6A5AE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9BE65">
            <w:pPr>
              <w:snapToGrid w:val="0"/>
              <w:spacing w:before="97" w:line="240" w:lineRule="auto"/>
              <w:ind w:left="0" w:leftChars="0" w:right="0" w:rightChars="0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议事决策类</w:t>
            </w:r>
          </w:p>
        </w:tc>
        <w:tc>
          <w:tcPr>
            <w:tcW w:w="4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DB146">
            <w:pPr>
              <w:snapToGrid w:val="0"/>
              <w:spacing w:before="155" w:line="240" w:lineRule="auto"/>
              <w:ind w:left="218" w:leftChars="104" w:right="97" w:rightChars="46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在公司经营班子会议中</w:t>
            </w: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可能存在不按规定履行集体决策程序，擅自拍板决定的风险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  <w:tc>
          <w:tcPr>
            <w:tcW w:w="4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4A0964">
            <w:pPr>
              <w:snapToGrid w:val="0"/>
              <w:spacing w:before="155" w:line="240" w:lineRule="auto"/>
              <w:ind w:left="218" w:leftChars="104" w:right="206" w:rightChars="98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会议中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执行集体决策原则，</w:t>
            </w: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严格按照“末位表态”流程进行，安排专人记录并归档会议纪要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</w:tr>
      <w:tr w14:paraId="749F4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69E7A">
            <w:pPr>
              <w:snapToGrid w:val="0"/>
              <w:spacing w:before="97" w:line="240" w:lineRule="auto"/>
              <w:ind w:left="0" w:leftChars="0" w:right="0" w:rightChars="0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权力运行类</w:t>
            </w:r>
          </w:p>
        </w:tc>
        <w:tc>
          <w:tcPr>
            <w:tcW w:w="4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67333">
            <w:pPr>
              <w:snapToGrid w:val="0"/>
              <w:spacing w:before="155" w:line="240" w:lineRule="auto"/>
              <w:ind w:left="218" w:leftChars="104" w:right="97" w:rightChars="46" w:firstLine="0" w:firstLineChars="0"/>
              <w:jc w:val="both"/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在园区工程招标过程中，可能存在对投标人资格审核、评标环节把控不够严谨，引发公平性争议的风险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  <w:tc>
          <w:tcPr>
            <w:tcW w:w="4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4670E37">
            <w:pPr>
              <w:snapToGrid w:val="0"/>
              <w:spacing w:before="155" w:line="240" w:lineRule="auto"/>
              <w:ind w:left="218" w:leftChars="104" w:right="206" w:rightChars="98" w:firstLine="0" w:firstLineChars="0"/>
              <w:jc w:val="both"/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严格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遵照公司采购管理相关制度执行</w:t>
            </w: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，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坚决执行集体决策制度，自觉</w:t>
            </w: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接受纪检部门监督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</w:tr>
      <w:tr w14:paraId="5BA31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BF01C">
            <w:pPr>
              <w:snapToGrid w:val="0"/>
              <w:spacing w:before="97" w:line="240" w:lineRule="auto"/>
              <w:ind w:left="0" w:leftChars="0" w:right="0" w:rightChars="0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制度机制类</w:t>
            </w:r>
          </w:p>
        </w:tc>
        <w:tc>
          <w:tcPr>
            <w:tcW w:w="4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5831F">
            <w:pPr>
              <w:snapToGrid w:val="0"/>
              <w:spacing w:before="155" w:line="240" w:lineRule="auto"/>
              <w:ind w:left="218" w:leftChars="104" w:right="97" w:rightChars="46" w:firstLine="0" w:firstLineChars="0"/>
              <w:jc w:val="both"/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公司在园区运营管理中可能存在对上级制度理解不到位的情况，公司制度执行不到位的情况。</w:t>
            </w:r>
          </w:p>
        </w:tc>
        <w:tc>
          <w:tcPr>
            <w:tcW w:w="4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0EB6CB8">
            <w:pPr>
              <w:snapToGrid w:val="0"/>
              <w:spacing w:before="155" w:line="240" w:lineRule="auto"/>
              <w:ind w:left="218" w:leftChars="104" w:right="206" w:rightChars="98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建立上级制度解读机制，邀请上级部门专家或内部业务骨干开展专题培训，定期组织制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度执行情况自查与复盘，对执行偏差及时纠正。</w:t>
            </w:r>
          </w:p>
        </w:tc>
      </w:tr>
      <w:tr w14:paraId="3FA78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1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77150">
            <w:pPr>
              <w:snapToGrid w:val="0"/>
              <w:spacing w:before="97" w:line="240" w:lineRule="auto"/>
              <w:ind w:left="0" w:leftChars="0" w:right="0" w:rightChars="0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工作流程类</w:t>
            </w:r>
          </w:p>
        </w:tc>
        <w:tc>
          <w:tcPr>
            <w:tcW w:w="4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6D128">
            <w:pPr>
              <w:snapToGrid w:val="0"/>
              <w:spacing w:before="155" w:line="240" w:lineRule="auto"/>
              <w:ind w:left="218" w:leftChars="104" w:right="97" w:rightChars="46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无</w:t>
            </w:r>
          </w:p>
        </w:tc>
        <w:tc>
          <w:tcPr>
            <w:tcW w:w="4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3288A4E">
            <w:pPr>
              <w:snapToGrid w:val="0"/>
              <w:spacing w:before="150" w:line="240" w:lineRule="auto"/>
              <w:ind w:left="218" w:leftChars="104" w:right="206" w:rightChars="98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无</w:t>
            </w:r>
          </w:p>
        </w:tc>
      </w:tr>
      <w:tr w14:paraId="093AE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43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8C704">
            <w:pPr>
              <w:snapToGrid w:val="0"/>
              <w:spacing w:before="97" w:line="240" w:lineRule="auto"/>
              <w:ind w:left="0" w:leftChars="0" w:right="0" w:rightChars="0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岗位履职类</w:t>
            </w:r>
          </w:p>
        </w:tc>
        <w:tc>
          <w:tcPr>
            <w:tcW w:w="4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C75E1">
            <w:pPr>
              <w:snapToGrid w:val="0"/>
              <w:spacing w:before="155" w:line="240" w:lineRule="auto"/>
              <w:ind w:left="218" w:leftChars="104" w:right="97" w:rightChars="46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对下属部门工程招标、招商租赁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、园区运营</w:t>
            </w: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等重点业务指导监督不够到位，未能及时发现并纠正工作偏差的风险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  <w:tc>
          <w:tcPr>
            <w:tcW w:w="4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95BE3E7">
            <w:pPr>
              <w:snapToGrid w:val="0"/>
              <w:spacing w:before="162" w:line="240" w:lineRule="auto"/>
              <w:ind w:left="218" w:leftChars="104" w:right="206" w:rightChars="98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建立重点业务监管台账，定期对工程招标、招商租赁等工作开展专项督查，发现问题严肃问责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</w:tr>
      <w:tr w14:paraId="764C6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5" w:hRule="atLeast"/>
          <w:jc w:val="center"/>
        </w:trPr>
        <w:tc>
          <w:tcPr>
            <w:tcW w:w="134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8F213C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4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ED260">
            <w:pPr>
              <w:snapToGrid w:val="0"/>
              <w:spacing w:before="155" w:line="240" w:lineRule="auto"/>
              <w:ind w:left="218" w:leftChars="104" w:right="97" w:rightChars="46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可能存在</w:t>
            </w: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业务发展变化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未</w:t>
            </w: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及时更新完善相关制度，导致制度与实际工作脱节，无法有效防控廉洁风险的风险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  <w:tc>
          <w:tcPr>
            <w:tcW w:w="4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7FB7211">
            <w:pPr>
              <w:bidi w:val="0"/>
              <w:snapToGrid w:val="0"/>
              <w:ind w:left="218" w:leftChars="104" w:right="206" w:rightChars="98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建立制度动态更新机制，每年根据业务发展、政策变化等情况，对相关制度进行评估，需要更新的及时启动修订程序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</w:tr>
      <w:tr w14:paraId="5112C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D629A91">
            <w:pPr>
              <w:snapToGrid w:val="0"/>
              <w:spacing w:before="97" w:line="240" w:lineRule="auto"/>
              <w:ind w:left="0" w:leftChars="0" w:right="0" w:rightChars="0" w:firstLine="0" w:firstLineChars="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纪律作风类</w:t>
            </w:r>
          </w:p>
        </w:tc>
        <w:tc>
          <w:tcPr>
            <w:tcW w:w="41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EC0F9A9">
            <w:pPr>
              <w:snapToGrid w:val="0"/>
              <w:spacing w:before="155" w:line="240" w:lineRule="auto"/>
              <w:ind w:left="218" w:leftChars="104" w:right="97" w:rightChars="46" w:firstLine="0" w:firstLineChars="0"/>
              <w:jc w:val="both"/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园区在运营过程中可能存在工作</w:t>
            </w: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效能不够扎实，对园区运营、招商租赁、超市运营等重点工作推进统筹不力，效率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和工作质量不高</w:t>
            </w: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的风险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  <w:tc>
          <w:tcPr>
            <w:tcW w:w="40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37D39D7">
            <w:pPr>
              <w:snapToGrid w:val="0"/>
              <w:spacing w:before="155" w:line="240" w:lineRule="auto"/>
              <w:ind w:left="218" w:leftChars="104" w:right="206" w:rightChars="98" w:firstLine="0" w:firstLineChars="0"/>
              <w:jc w:val="both"/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建立重点工作台账，明确园区运营、招商合作等任务的责任分工、时间节点，定期调度推进情况，对滞后事项及时督办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spacing w:val="-7"/>
                <w:kern w:val="0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</w:tr>
    </w:tbl>
    <w:p w14:paraId="0E73524F">
      <w:pPr>
        <w:pStyle w:val="2"/>
        <w:spacing w:before="291" w:line="248" w:lineRule="auto"/>
        <w:ind w:left="0" w:leftChars="0" w:right="-420" w:rightChars="0" w:firstLine="0" w:firstLineChars="0"/>
      </w:pPr>
      <w:r>
        <w:rPr>
          <w:b/>
          <w:bCs/>
          <w:spacing w:val="19"/>
          <w:sz w:val="23"/>
          <w:szCs w:val="23"/>
        </w:rPr>
        <w:t>备注:</w:t>
      </w:r>
      <w:r>
        <w:rPr>
          <w:spacing w:val="-33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1.议事决策类：党委</w:t>
      </w:r>
      <w:r>
        <w:rPr>
          <w:rFonts w:hint="eastAsia"/>
          <w:spacing w:val="19"/>
          <w:sz w:val="23"/>
          <w:szCs w:val="23"/>
          <w:lang w:eastAsia="zh-CN"/>
        </w:rPr>
        <w:t>（</w:t>
      </w:r>
      <w:r>
        <w:rPr>
          <w:spacing w:val="19"/>
          <w:sz w:val="23"/>
          <w:szCs w:val="23"/>
        </w:rPr>
        <w:t>党组</w:t>
      </w:r>
      <w:r>
        <w:rPr>
          <w:rFonts w:hint="eastAsia"/>
          <w:spacing w:val="19"/>
          <w:sz w:val="23"/>
          <w:szCs w:val="23"/>
          <w:lang w:eastAsia="zh-CN"/>
        </w:rPr>
        <w:t>）</w:t>
      </w:r>
      <w:r>
        <w:rPr>
          <w:spacing w:val="19"/>
          <w:sz w:val="23"/>
          <w:szCs w:val="23"/>
        </w:rPr>
        <w:t>议事规则、“三重一大”事项决策</w:t>
      </w:r>
      <w:r>
        <w:rPr>
          <w:spacing w:val="18"/>
          <w:sz w:val="23"/>
          <w:szCs w:val="23"/>
        </w:rPr>
        <w:t>、主要</w:t>
      </w:r>
      <w:r>
        <w:rPr>
          <w:rFonts w:hint="eastAsia"/>
          <w:spacing w:val="18"/>
          <w:sz w:val="23"/>
          <w:szCs w:val="23"/>
          <w:lang w:eastAsia="zh-CN"/>
        </w:rPr>
        <w:t>负责人</w:t>
      </w:r>
      <w:r>
        <w:rPr>
          <w:spacing w:val="8"/>
          <w:sz w:val="23"/>
          <w:szCs w:val="23"/>
        </w:rPr>
        <w:t>“五不直接分管”和“末位表态”等方面存在的风险点；2.权力运行类：人、财、</w:t>
      </w:r>
      <w:r>
        <w:rPr>
          <w:spacing w:val="4"/>
          <w:sz w:val="23"/>
          <w:szCs w:val="23"/>
        </w:rPr>
        <w:t>物管理等重点岗位和</w:t>
      </w:r>
      <w:r>
        <w:rPr>
          <w:rFonts w:hint="eastAsia"/>
          <w:spacing w:val="4"/>
          <w:sz w:val="23"/>
          <w:szCs w:val="23"/>
          <w:lang w:val="en-US" w:eastAsia="zh-CN"/>
        </w:rPr>
        <w:t>流程</w:t>
      </w:r>
      <w:r>
        <w:rPr>
          <w:spacing w:val="4"/>
          <w:sz w:val="23"/>
          <w:szCs w:val="23"/>
        </w:rPr>
        <w:t>审批等</w:t>
      </w:r>
      <w:r>
        <w:rPr>
          <w:spacing w:val="19"/>
          <w:sz w:val="23"/>
          <w:szCs w:val="23"/>
        </w:rPr>
        <w:t>关键环节方面存在的风险点；3.制度机制类：制度设计、制度执行、内部管理、机制建设方面存在的风险点；</w:t>
      </w:r>
      <w:r>
        <w:rPr>
          <w:rFonts w:ascii="仿宋" w:hAnsi="仿宋" w:eastAsia="仿宋" w:cs="仿宋"/>
          <w:spacing w:val="19"/>
          <w:sz w:val="23"/>
          <w:szCs w:val="23"/>
        </w:rPr>
        <w:t>4.</w:t>
      </w:r>
      <w:r>
        <w:rPr>
          <w:spacing w:val="19"/>
          <w:sz w:val="23"/>
          <w:szCs w:val="23"/>
        </w:rPr>
        <w:t>工作流程类：工作程序、业务流程等方面存在的风险点；5.岗位履职类：行使岗位权力、履行工作职责过程中存在的风险点；6.纪律作风类型：贯彻上级重大决策部署、执行中央八项规定精神、作风效能、与管理服务对象交往等方面存在的风险点。</w:t>
      </w:r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33408"/>
    <w:rsid w:val="03FC5FFC"/>
    <w:rsid w:val="1D9B6A3E"/>
    <w:rsid w:val="32233408"/>
    <w:rsid w:val="3B70181E"/>
    <w:rsid w:val="491A4480"/>
    <w:rsid w:val="4A612497"/>
    <w:rsid w:val="54215CC1"/>
    <w:rsid w:val="637E512E"/>
    <w:rsid w:val="65E120E1"/>
    <w:rsid w:val="7D64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889</Words>
  <Characters>895</Characters>
  <Lines>0</Lines>
  <Paragraphs>0</Paragraphs>
  <TotalTime>14</TotalTime>
  <ScaleCrop>false</ScaleCrop>
  <LinksUpToDate>false</LinksUpToDate>
  <CharactersWithSpaces>926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2025-11-04T06:44:00Z</dcterms:created>
  <dc:creator>白水</dc:creator>
  <cp:lastModifiedBy>沈涌</cp:lastModifiedBy>
  <dcterms:modified xsi:type="dcterms:W3CDTF">2025-11-04T09:05:46Z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9485ED9886C04224A0F2D124376F89BC_11</vt:lpwstr>
  </property>
  <property fmtid="{D5CDD505-2E9C-101B-9397-08002B2CF9AE}" pid="4" name="KSOTemplateDocerSaveRecord">
    <vt:lpwstr>eyJoZGlkIjoiYWYxZjUyZDlmNWE3ZTZmYjQ4ZmY5YWE2YTIzYjY1ZGQiLCJ1c2VySWQiOiIxMTU5OTEwNDAwIn0=</vt:lpwstr>
  </property>
</Properties>
</file>