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B9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杭州交投科创中心</w:t>
      </w:r>
    </w:p>
    <w:p w14:paraId="361FD8D5">
      <w:pPr>
        <w:ind w:firstLine="88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2026年第</w:t>
      </w:r>
      <w:r>
        <w:rPr>
          <w:rFonts w:hint="eastAsia" w:ascii="Times New Roman" w:hAnsi="Times New Roman" w:eastAsia="小标宋" w:cs="Times New Roman"/>
          <w:sz w:val="44"/>
          <w:szCs w:val="44"/>
          <w:lang w:val="en-US" w:eastAsia="zh-CN"/>
        </w:rPr>
        <w:t>二</w:t>
      </w: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季度周边园区市调报告</w:t>
      </w:r>
    </w:p>
    <w:p w14:paraId="64EF3DB6"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1F39263C"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2026年二季度延续一季度市场整体承压格局，复苏节奏放缓、区域办公存量持续增加、企业降本缩租常态化、竞品硬件与租金内卷持续加剧，整体租赁供需矛盾未出现实质性缓解，市场大环境与一季度基调基本一致。但二季度迎来独特政策窗口期：滨江区商务局、物联网小镇管委会二季度集中开展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精准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招商行动，批量推送优质科技项目资源，是园区跳出低价内卷、精准吸纳高稳定性硬核科技企业的关键机遇窗口。</w:t>
      </w:r>
      <w:r>
        <w:rPr>
          <w:rFonts w:hint="default" w:ascii="Times New Roman" w:hAnsi="Times New Roman" w:eastAsia="仿宋_GB2312" w:cs="Times New Roman"/>
          <w:color w:val="0000FF"/>
          <w:sz w:val="32"/>
          <w:szCs w:val="32"/>
        </w:rPr>
        <w:t>本次调研在常规出租率、租金、户型、配套数据摸排基础上，新增政企招商资源转化效率、优质科技企业筛选标准两大调研维度，同时提出两项全新市场研判观点，为园区抢抓政府招商资源、优化产业客群结构提供差异化决策支撑。</w:t>
      </w:r>
    </w:p>
    <w:p w14:paraId="456549FD"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本次调研覆盖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康奋威大厦、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趣链大厦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纵横大厦、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联络大厦、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海威天地5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个核心竞品，同步梳理一季度存量退租、缩租企业后续变动情况，结合区级招商专项政策形成完整分析与落地举措。</w:t>
      </w:r>
    </w:p>
    <w:p w14:paraId="799FBD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5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一、周边园区调研情况</w:t>
      </w:r>
    </w:p>
    <w:p w14:paraId="73D00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3" w:firstLineChars="200"/>
        <w:jc w:val="both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1、</w:t>
      </w:r>
      <w:r>
        <w:rPr>
          <w:rStyle w:val="5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康奋威大厦：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康奋威大厦园区内电商企业淘汰频繁，出租率8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%，空置房源面积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各个面积段都有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，已成功申请孵化器，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因二季度退租一3000多方大客户，所以二季度出租率下滑严重。有带看奖，1-2个月佣金。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907"/>
        <w:gridCol w:w="880"/>
        <w:gridCol w:w="1147"/>
        <w:gridCol w:w="653"/>
        <w:gridCol w:w="587"/>
        <w:gridCol w:w="800"/>
        <w:gridCol w:w="586"/>
        <w:gridCol w:w="827"/>
        <w:gridCol w:w="1201"/>
      </w:tblGrid>
      <w:tr w14:paraId="7E545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3B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5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E4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2E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7B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37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D8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B6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E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DC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C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55EA7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F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康奋威大厦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E7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40515.81㎡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61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31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1.8-2.0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32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70%</w:t>
            </w:r>
          </w:p>
        </w:tc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1195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8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7B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简装精装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6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1-2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0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季付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88C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食堂、图文店、便利店、健身房</w:t>
            </w:r>
          </w:p>
        </w:tc>
      </w:tr>
    </w:tbl>
    <w:p w14:paraId="350BE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26" name="图片 26" descr="C:/Users/admin/Desktop/2026第二季度/微信图片_20260624170038347_8.jpg微信图片_20260624170038347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/Users/admin/Desktop/2026第二季度/微信图片_20260624170038347_8.jpg微信图片_20260624170038347_8"/>
                    <pic:cNvPicPr>
                      <a:picLocks noChangeAspect="1"/>
                    </pic:cNvPicPr>
                  </pic:nvPicPr>
                  <pic:blipFill>
                    <a:blip r:embed="rId4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" name="图片 1" descr="C:/Users/admin/Desktop/2026第二季度/微信图片_20260624170038347_12.jpg微信图片_20260624170038347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/Desktop/2026第二季度/微信图片_20260624170038347_12.jpg微信图片_20260624170038347_12"/>
                    <pic:cNvPicPr>
                      <a:picLocks noChangeAspect="1"/>
                    </pic:cNvPicPr>
                  </pic:nvPicPr>
                  <pic:blipFill>
                    <a:blip r:embed="rId5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2" name="图片 2" descr="C:/Users/admin/Desktop/2026第二季度/微信图片_20260624170100349_9.jpg微信图片_20260624170100349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admin/Desktop/2026第二季度/微信图片_20260624170100349_9.jpg微信图片_20260624170100349_9"/>
                    <pic:cNvPicPr>
                      <a:picLocks noChangeAspect="1"/>
                    </pic:cNvPicPr>
                  </pic:nvPicPr>
                  <pic:blipFill>
                    <a:blip r:embed="rId6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3" name="图片 3" descr="C:/Users/admin/Desktop/2026第二季度/微信图片_20260624170100349_8.jpg微信图片_20260624170100349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admin/Desktop/2026第二季度/微信图片_20260624170100349_8.jpg微信图片_20260624170100349_8"/>
                    <pic:cNvPicPr>
                      <a:picLocks noChangeAspect="1"/>
                    </pic:cNvPicPr>
                  </pic:nvPicPr>
                  <pic:blipFill>
                    <a:blip r:embed="rId7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15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51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趣链大厦：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目前空置房源数量较少，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出租率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88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%，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整体运营态势平稳。现存空置房源以100-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00㎡户型为主，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外加一楼部分底商未出租，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入驻租户以直播类企业为主体。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S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园区配套设施完善，配备高标准包厢、健身场所等。园区招商政策灵活多元，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有带看奖，1-2个月佣金。</w:t>
      </w:r>
    </w:p>
    <w:p w14:paraId="057370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4" name="图片 4" descr="C:/Users/admin/Desktop/2026第二季度/趣链1.jpg趣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admin/Desktop/2026第二季度/趣链1.jpg趣链1"/>
                    <pic:cNvPicPr>
                      <a:picLocks noChangeAspect="1"/>
                    </pic:cNvPicPr>
                  </pic:nvPicPr>
                  <pic:blipFill>
                    <a:blip r:embed="rId8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5" name="图片 5" descr="C:/Users/admin/Desktop/2026第二季度/趣链2.jpg趣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dmin/Desktop/2026第二季度/趣链2.jpg趣链2"/>
                    <pic:cNvPicPr>
                      <a:picLocks noChangeAspect="1"/>
                    </pic:cNvPicPr>
                  </pic:nvPicPr>
                  <pic:blipFill>
                    <a:blip r:embed="rId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6" name="图片 6" descr="C:/Users/admin/Desktop/2026第二季度/趣链3.jpg趣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admin/Desktop/2026第二季度/趣链3.jpg趣链3"/>
                    <pic:cNvPicPr>
                      <a:picLocks noChangeAspect="1"/>
                    </pic:cNvPicPr>
                  </pic:nvPicPr>
                  <pic:blipFill>
                    <a:blip r:embed="rId10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7" name="图片 7" descr="C:/Users/admin/Desktop/2026第二季度/趣链4.jpg趣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admin/Desktop/2026第二季度/趣链4.jpg趣链4"/>
                    <pic:cNvPicPr>
                      <a:picLocks noChangeAspect="1"/>
                    </pic:cNvPicPr>
                  </pic:nvPicPr>
                  <pic:blipFill>
                    <a:blip r:embed="rId11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12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51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纵横大厦：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纵横大厦目前出租率在</w:t>
      </w:r>
      <w:r>
        <w:rPr>
          <w:rStyle w:val="5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85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%左右，剩余房源主要为500-1600㎡的中大户型。产业集聚不明显，主要租户为直播电商类企业。该项目客户维护手段较为激进，为快速抢占意向客源推出额外隐性激励政策，对中介、意向企业给出额外合作福利，近期</w:t>
      </w:r>
      <w:r>
        <w:rPr>
          <w:rStyle w:val="5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一组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优质意向客户被其截流。项目裙楼为综合配套，包含餐厅、便利店、咖啡吧、健身房、会议室、商务会所等。</w:t>
      </w:r>
    </w:p>
    <w:p w14:paraId="3CB46A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3" name="图片 13" descr="C:/Users/admin/Desktop/纵横1.jpg纵横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/Users/admin/Desktop/纵横1.jpg纵横1"/>
                    <pic:cNvPicPr>
                      <a:picLocks noChangeAspect="1"/>
                    </pic:cNvPicPr>
                  </pic:nvPicPr>
                  <pic:blipFill>
                    <a:blip r:embed="rId12"/>
                    <a:srcRect l="48" r="48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9" name="图片 9" descr="C:/Users/admin/Desktop/2026第二季度市调/纵横2.jpg纵横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/Users/admin/Desktop/2026第二季度市调/纵横2.jpg纵横2"/>
                    <pic:cNvPicPr>
                      <a:picLocks noChangeAspect="1"/>
                    </pic:cNvPicPr>
                  </pic:nvPicPr>
                  <pic:blipFill>
                    <a:blip r:embed="rId13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8" name="图片 8" descr="纵横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纵横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4" name="图片 14" descr="纵横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纵横-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26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联络大厦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联络大厦本季度出租率保持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80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%，剩余房源面积主要集中在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00-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00㎡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简装、精装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。租户以电商直播企业为主，该项目地段交通优势突出，在同等区位、同等装修标准的房源对比中，其报价具备更强的价格竞争力，对意向客户吸引力较强，分流了不少选址需求。</w:t>
      </w:r>
    </w:p>
    <w:p w14:paraId="6449CC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5" name="图片 15" descr="C:/Users/admin/Desktop/2026第二季度市调/联络1.jpg联络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/Users/admin/Desktop/2026第二季度市调/联络1.jpg联络1"/>
                    <pic:cNvPicPr>
                      <a:picLocks noChangeAspect="1"/>
                    </pic:cNvPicPr>
                  </pic:nvPicPr>
                  <pic:blipFill>
                    <a:blip r:embed="rId16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6" name="图片 16" descr="C:/Users/admin/Desktop/2026第二季度市调/联络2.jpg联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/Users/admin/Desktop/2026第二季度市调/联络2.jpg联络2"/>
                    <pic:cNvPicPr>
                      <a:picLocks noChangeAspect="1"/>
                    </pic:cNvPicPr>
                  </pic:nvPicPr>
                  <pic:blipFill>
                    <a:blip r:embed="rId17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7" name="图片 17" descr="C:/Users/admin/Desktop/2026第二季度市调/联络3.jpg联络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admin/Desktop/2026第二季度市调/联络3.jpg联络3"/>
                    <pic:cNvPicPr>
                      <a:picLocks noChangeAspect="1"/>
                    </pic:cNvPicPr>
                  </pic:nvPicPr>
                  <pic:blipFill>
                    <a:blip r:embed="rId18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8" name="图片 18" descr="C:/Users/admin/Desktop/2026第二季度市调/联络4.jpg联络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admin/Desktop/2026第二季度市调/联络4.jpg联络4"/>
                    <pic:cNvPicPr>
                      <a:picLocks noChangeAspect="1"/>
                    </pic:cNvPicPr>
                  </pic:nvPicPr>
                  <pic:blipFill>
                    <a:blip r:embed="rId1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C3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海威天地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海威天地为“商业+办公”综合体项目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本季度出租率8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%，空置房源以150-300㎡中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小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型户型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精装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为主。租户以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直播电商、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广告设计、文化传播类企业为主，少量为小型金融服务企业。其办公空间紧邻商业综合体（含商场、影院、餐饮街），附加值较高。</w:t>
      </w:r>
    </w:p>
    <w:p w14:paraId="4A1A41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0" name="图片 10" descr="C:/Users/admin/Desktop/海威天地.jpg海威天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admin/Desktop/海威天地.jpg海威天地"/>
                    <pic:cNvPicPr>
                      <a:picLocks noChangeAspect="1"/>
                    </pic:cNvPicPr>
                  </pic:nvPicPr>
                  <pic:blipFill>
                    <a:blip r:embed="rId20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1" name="图片 11" descr="C:/Users/admin/Desktop/海威天地2.jpg海威天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admin/Desktop/海威天地2.jpg海威天地2"/>
                    <pic:cNvPicPr>
                      <a:picLocks noChangeAspect="1"/>
                    </pic:cNvPicPr>
                  </pic:nvPicPr>
                  <pic:blipFill>
                    <a:blip r:embed="rId21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2" name="图片 12" descr="C:/Users/admin/Desktop/海威天地3.jpg海威天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/Users/admin/Desktop/海威天地3.jpg海威天地3"/>
                    <pic:cNvPicPr>
                      <a:picLocks noChangeAspect="1"/>
                    </pic:cNvPicPr>
                  </pic:nvPicPr>
                  <pic:blipFill>
                    <a:blip r:embed="rId22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9" name="图片 19" descr="C:/Users/admin/Desktop/海威天地4.jpg海威天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/Users/admin/Desktop/海威天地4.jpg海威天地4"/>
                    <pic:cNvPicPr>
                      <a:picLocks noChangeAspect="1"/>
                    </pic:cNvPicPr>
                  </pic:nvPicPr>
                  <pic:blipFill>
                    <a:blip r:embed="rId23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1A5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5"/>
          <w:rFonts w:hint="eastAsia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eastAsia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园区下半年租赁分析</w:t>
      </w:r>
    </w:p>
    <w:p w14:paraId="3B299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结合园内到期企业走访、客户经营摸排，下半年存在退租、缩减面积意向企业共11家，涉及租赁总面积约5500㎡，主要分为两类：一是业务萎缩的中小型电商、贸易企业，计划缩减 50% 以上办公面积或直接搬迁至低价竞品；二是部分集团下属企业，存在收回自有场地集中办公计划。</w:t>
      </w:r>
    </w:p>
    <w:p w14:paraId="44C00E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若未提前做好客户维稳、置换方案、优质企业补位，园区出租率将出现明显下滑，全年租金收入目标承压。</w:t>
      </w:r>
    </w:p>
    <w:p w14:paraId="6BD21A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</w:p>
    <w:tbl>
      <w:tblPr>
        <w:tblStyle w:val="3"/>
        <w:tblW w:w="77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1473"/>
        <w:gridCol w:w="1319"/>
        <w:gridCol w:w="2169"/>
      </w:tblGrid>
      <w:tr w14:paraId="6622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50573891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公司名称</w:t>
            </w:r>
          </w:p>
        </w:tc>
        <w:tc>
          <w:tcPr>
            <w:tcW w:w="1473" w:type="dxa"/>
            <w:vAlign w:val="center"/>
          </w:tcPr>
          <w:p w14:paraId="3506F650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面  积</w:t>
            </w:r>
          </w:p>
        </w:tc>
        <w:tc>
          <w:tcPr>
            <w:tcW w:w="1319" w:type="dxa"/>
            <w:vAlign w:val="center"/>
          </w:tcPr>
          <w:p w14:paraId="0CC194B6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退租/减租</w:t>
            </w:r>
          </w:p>
        </w:tc>
        <w:tc>
          <w:tcPr>
            <w:tcW w:w="2169" w:type="dxa"/>
            <w:vAlign w:val="center"/>
          </w:tcPr>
          <w:p w14:paraId="19AB3F44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/>
                <w:bCs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原  因</w:t>
            </w:r>
          </w:p>
        </w:tc>
      </w:tr>
      <w:tr w14:paraId="6DFE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0F80C6F6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杭州宇为科技有限公司</w:t>
            </w:r>
          </w:p>
        </w:tc>
        <w:tc>
          <w:tcPr>
            <w:tcW w:w="1473" w:type="dxa"/>
            <w:vAlign w:val="center"/>
          </w:tcPr>
          <w:p w14:paraId="233A96CA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1100㎡</w:t>
            </w:r>
          </w:p>
        </w:tc>
        <w:tc>
          <w:tcPr>
            <w:tcW w:w="1319" w:type="dxa"/>
            <w:vAlign w:val="center"/>
          </w:tcPr>
          <w:p w14:paraId="22EB4597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5DD36C8F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/</w:t>
            </w:r>
          </w:p>
        </w:tc>
      </w:tr>
      <w:tr w14:paraId="231F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24C2A21F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新疆南北公路养护科技有限公司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2867A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90.02</w:t>
            </w:r>
          </w:p>
        </w:tc>
        <w:tc>
          <w:tcPr>
            <w:tcW w:w="1319" w:type="dxa"/>
            <w:vAlign w:val="center"/>
          </w:tcPr>
          <w:p w14:paraId="63F430C1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53A6D198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其他区政府提供办公室</w:t>
            </w:r>
          </w:p>
        </w:tc>
      </w:tr>
      <w:tr w14:paraId="39C7A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3A3B1819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杭州心景科技有限公司</w:t>
            </w:r>
          </w:p>
        </w:tc>
        <w:tc>
          <w:tcPr>
            <w:tcW w:w="1473" w:type="dxa"/>
            <w:vAlign w:val="center"/>
          </w:tcPr>
          <w:p w14:paraId="1AE7065D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359.66㎡</w:t>
            </w:r>
          </w:p>
        </w:tc>
        <w:tc>
          <w:tcPr>
            <w:tcW w:w="1319" w:type="dxa"/>
            <w:vAlign w:val="center"/>
          </w:tcPr>
          <w:p w14:paraId="57AA81D8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3E2A2DDB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股东方邀请返回自有办公场所</w:t>
            </w: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办公</w:t>
            </w:r>
          </w:p>
        </w:tc>
      </w:tr>
      <w:tr w14:paraId="74A1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27B5FB49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杭州中源人力资源有限公司</w:t>
            </w:r>
          </w:p>
        </w:tc>
        <w:tc>
          <w:tcPr>
            <w:tcW w:w="1473" w:type="dxa"/>
            <w:vAlign w:val="center"/>
          </w:tcPr>
          <w:p w14:paraId="58D304D2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44" w:firstLineChars="100"/>
              <w:jc w:val="both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517.56㎡</w:t>
            </w:r>
          </w:p>
        </w:tc>
        <w:tc>
          <w:tcPr>
            <w:tcW w:w="1319" w:type="dxa"/>
            <w:vAlign w:val="center"/>
          </w:tcPr>
          <w:p w14:paraId="466F761F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1381F4F6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企业自建厂房，本部召回部分业务</w:t>
            </w:r>
          </w:p>
        </w:tc>
      </w:tr>
      <w:tr w14:paraId="529E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shd w:val="clear" w:color="auto" w:fill="auto"/>
            <w:vAlign w:val="center"/>
          </w:tcPr>
          <w:p w14:paraId="30DBF4D6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杭州天禧公路养护科技有限公司 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F99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236.65</w:t>
            </w:r>
          </w:p>
        </w:tc>
        <w:tc>
          <w:tcPr>
            <w:tcW w:w="1319" w:type="dxa"/>
            <w:vAlign w:val="center"/>
          </w:tcPr>
          <w:p w14:paraId="6C7B105C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406FD076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其他区政府提供办公场所</w:t>
            </w:r>
          </w:p>
        </w:tc>
      </w:tr>
      <w:tr w14:paraId="31BB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6008C09C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杭州交投智科建设发展有限公司</w:t>
            </w:r>
          </w:p>
        </w:tc>
        <w:tc>
          <w:tcPr>
            <w:tcW w:w="1473" w:type="dxa"/>
            <w:vAlign w:val="center"/>
          </w:tcPr>
          <w:p w14:paraId="7D253553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700</w:t>
            </w:r>
          </w:p>
        </w:tc>
        <w:tc>
          <w:tcPr>
            <w:tcW w:w="1319" w:type="dxa"/>
            <w:vAlign w:val="center"/>
          </w:tcPr>
          <w:p w14:paraId="6CF12D20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减租</w:t>
            </w:r>
          </w:p>
        </w:tc>
        <w:tc>
          <w:tcPr>
            <w:tcW w:w="2169" w:type="dxa"/>
            <w:vAlign w:val="center"/>
          </w:tcPr>
          <w:p w14:paraId="1493CC1F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/</w:t>
            </w:r>
          </w:p>
        </w:tc>
      </w:tr>
      <w:tr w14:paraId="2141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vAlign w:val="center"/>
          </w:tcPr>
          <w:p w14:paraId="14D51F89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 xml:space="preserve">宝博（杭州）网络科技有限公司  </w:t>
            </w:r>
          </w:p>
        </w:tc>
        <w:tc>
          <w:tcPr>
            <w:tcW w:w="1473" w:type="dxa"/>
            <w:vAlign w:val="center"/>
          </w:tcPr>
          <w:p w14:paraId="7400A924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165.86㎡</w:t>
            </w:r>
          </w:p>
        </w:tc>
        <w:tc>
          <w:tcPr>
            <w:tcW w:w="1319" w:type="dxa"/>
            <w:vAlign w:val="center"/>
          </w:tcPr>
          <w:p w14:paraId="5EE78762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7BD23101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7195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shd w:val="clear" w:color="auto" w:fill="auto"/>
            <w:vAlign w:val="center"/>
          </w:tcPr>
          <w:p w14:paraId="4CA7ADBA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杭州炎夜科技有限公司</w:t>
            </w:r>
          </w:p>
        </w:tc>
        <w:tc>
          <w:tcPr>
            <w:tcW w:w="1473" w:type="dxa"/>
            <w:vAlign w:val="center"/>
          </w:tcPr>
          <w:p w14:paraId="30701804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224.16㎡</w:t>
            </w:r>
          </w:p>
        </w:tc>
        <w:tc>
          <w:tcPr>
            <w:tcW w:w="1319" w:type="dxa"/>
            <w:vAlign w:val="center"/>
          </w:tcPr>
          <w:p w14:paraId="6D9AC1F8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5B72B72D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合作商供房</w:t>
            </w:r>
          </w:p>
        </w:tc>
      </w:tr>
      <w:tr w14:paraId="5323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shd w:val="clear" w:color="auto" w:fill="auto"/>
            <w:vAlign w:val="center"/>
          </w:tcPr>
          <w:p w14:paraId="10FC049A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中铁建工集团有限公司</w:t>
            </w:r>
          </w:p>
        </w:tc>
        <w:tc>
          <w:tcPr>
            <w:tcW w:w="1473" w:type="dxa"/>
            <w:vAlign w:val="center"/>
          </w:tcPr>
          <w:p w14:paraId="4BDB8157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2176.52㎡</w:t>
            </w:r>
          </w:p>
        </w:tc>
        <w:tc>
          <w:tcPr>
            <w:tcW w:w="1319" w:type="dxa"/>
            <w:vAlign w:val="center"/>
          </w:tcPr>
          <w:p w14:paraId="0C9E52A9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退租</w:t>
            </w:r>
          </w:p>
        </w:tc>
        <w:tc>
          <w:tcPr>
            <w:tcW w:w="2169" w:type="dxa"/>
            <w:vAlign w:val="center"/>
          </w:tcPr>
          <w:p w14:paraId="1FF757A4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业务重心转移到上海</w:t>
            </w:r>
          </w:p>
        </w:tc>
      </w:tr>
      <w:tr w14:paraId="2A4FB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  <w:shd w:val="clear" w:color="auto" w:fill="auto"/>
            <w:vAlign w:val="center"/>
          </w:tcPr>
          <w:p w14:paraId="1851745E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总计</w:t>
            </w:r>
          </w:p>
        </w:tc>
        <w:tc>
          <w:tcPr>
            <w:tcW w:w="1473" w:type="dxa"/>
            <w:vAlign w:val="center"/>
          </w:tcPr>
          <w:p w14:paraId="7E44ED69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default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  <w:t>5570.43㎡</w:t>
            </w:r>
          </w:p>
        </w:tc>
        <w:tc>
          <w:tcPr>
            <w:tcW w:w="1319" w:type="dxa"/>
            <w:vAlign w:val="center"/>
          </w:tcPr>
          <w:p w14:paraId="55431DC3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69" w:type="dxa"/>
            <w:vAlign w:val="center"/>
          </w:tcPr>
          <w:p w14:paraId="5B6D219B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Style w:val="5"/>
                <w:rFonts w:hint="eastAsia" w:ascii="Times New Roman" w:hAnsi="Times New Roman" w:eastAsia="仿宋_GB2312" w:cs="Times New Roman"/>
                <w:b w:val="0"/>
                <w:bCs w:val="0"/>
                <w:spacing w:val="2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0D465B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eastAsia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三、</w:t>
      </w:r>
      <w:r>
        <w:rPr>
          <w:rStyle w:val="5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二季度市场分析</w:t>
      </w:r>
    </w:p>
    <w:p w14:paraId="7D1EF8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（二）存量流失核心诱因：外部低价内卷 + 企业内部收缩双重冲击</w:t>
      </w:r>
      <w:r>
        <w:rPr>
          <w:rStyle w:val="5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外部竞品持续降价、拉长免租期，</w:t>
      </w:r>
      <w:r>
        <w:rPr>
          <w:rStyle w:val="5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甚至出现了月付办公楼，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 xml:space="preserve">园内成本敏感型小微企业搬迁意愿强烈；宏观环境下企业营收收缩，集团统一整合办公场地、缩减办公面积成为常态化操作，直接形成下半年 </w:t>
      </w:r>
      <w:r>
        <w:rPr>
          <w:rStyle w:val="5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55</w:t>
      </w: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00㎡流失缺口；园区硬件配套、通勤便利度弱于地铁沿线竞品，客户谈判时议价诉求持续增加，存量维稳难度上升。</w:t>
      </w:r>
    </w:p>
    <w:p w14:paraId="1B23A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（三）增量获客全新突破口：政企渠道优于传统中介</w:t>
      </w:r>
    </w:p>
    <w:p w14:paraId="23BF3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传统中介渠道获客成本持续走高，且引流客户以高流动直播电商为主，留存价值低；二季度滨江商务局定向推送物联网、智慧交通、数字基建优质科创企业，客群匹配度高、经营稳定、租赁周期长，是填补下半年 7000㎡空置缺口的核心增量来源，具备不可替代的渠道优势。</w:t>
      </w:r>
    </w:p>
    <w:p w14:paraId="62A69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（四）园区自身优劣势二季度复盘</w:t>
      </w:r>
    </w:p>
    <w:p w14:paraId="6D758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优势</w:t>
      </w:r>
    </w:p>
    <w:p w14:paraId="3D8D9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产业定位清晰，聚焦车联网、物联网，无大量高流失电商租户，存量客户整体稳定性优于周边纯直播园区；</w:t>
      </w:r>
    </w:p>
    <w:p w14:paraId="2F7D4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国企平台资源，可对接政策申报、产业沙龙、银行融资，增值服务为核心竞争力；</w:t>
      </w:r>
    </w:p>
    <w:p w14:paraId="4EE78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庭院式园林配套、独立商务茶室、专属接待空间，商务配套体验优于多数竞品。</w:t>
      </w:r>
    </w:p>
    <w:p w14:paraId="005BC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短板</w:t>
      </w:r>
    </w:p>
    <w:p w14:paraId="4D5E22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园区无全套标准化办公家具交付，硬件配套滞后二季度市场主流标准，客户初次带看吸引力下降；</w:t>
      </w:r>
    </w:p>
    <w:p w14:paraId="378048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距离地铁较远，无日间通勤班车，对通勤敏感的科技企业存在明显短板；</w:t>
      </w:r>
    </w:p>
    <w:p w14:paraId="02984A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租金调整、免租期释放受国资制度约束，价格灵活度弱于二房东竞品，议价空间不足；</w:t>
      </w:r>
    </w:p>
    <w:p w14:paraId="1BB4CD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政企优质客户挖掘力度不足，对商务局推荐企业跟进、转化体系不完善。</w:t>
      </w:r>
    </w:p>
    <w:p w14:paraId="138D67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五、下半年招商运营落地举措（紧扣 “稳存量、抓政企优质增量” 核心）</w:t>
      </w:r>
    </w:p>
    <w:p w14:paraId="6BDD43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（一）存量客户专项维稳：对冲 7000㎡流失风险</w:t>
      </w:r>
    </w:p>
    <w:p w14:paraId="139EA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分级走访摸排</w:t>
      </w:r>
    </w:p>
    <w:p w14:paraId="7361B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划分 A 类（科技优质长期企业）、B 类（中小稳定企业）、C 类（经营承压流失风险企业）三级客户，二季度末完成全园区企业上门走访，精准记录缩租、退租诉求，建立流失风险台账，对 7000㎡潜在流失面积制定一户一策挽留方案。</w:t>
      </w:r>
    </w:p>
    <w:p w14:paraId="759BB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差异化留存激励</w:t>
      </w:r>
    </w:p>
    <w:p w14:paraId="4A983D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A 类优质产业企业：续租 2 年及以上，赠送全年政策申报免费辅导、园区商务包厢月度免费使用权；</w:t>
      </w:r>
    </w:p>
    <w:p w14:paraId="70478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B 类中小微企业：优化户型置换方案，支持大面积拆分、跨楼层调整，匹配企业收缩需求；</w:t>
      </w:r>
    </w:p>
    <w:p w14:paraId="494DC1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C 类风险企业：在国资允许范围内适度调整付款周期、配套家具使用权，降低搬迁动力。</w:t>
      </w:r>
    </w:p>
    <w:p w14:paraId="320E9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完善老带新激励机制</w:t>
      </w:r>
    </w:p>
    <w:p w14:paraId="55E67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针对存量优质企业推出产业推荐奖励，成功引进同赛道科技企业，给予物业费减免、共享会议室全年免费权益，以稳定存量带动优质增量。</w:t>
      </w:r>
    </w:p>
    <w:p w14:paraId="6AAF7A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（二）抢抓滨江商务局优质企业渠道，打造增量核心支撑</w:t>
      </w:r>
    </w:p>
    <w:p w14:paraId="30A17B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建立政企对接专人专班，对商务局推送企业实行24 小时响应、全流程一对一跟进，梳理企业产业赛道、面积需求、政策诉求，定制专属入驻方案；</w:t>
      </w:r>
    </w:p>
    <w:p w14:paraId="70B5C5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依托园区市级孵化器资质，针对商务局推荐科创企业开通政策申报绿色通道，提供人才、融资、项目对接配套服务，形成区别于民营园区的独家吸引力；</w:t>
      </w:r>
    </w:p>
    <w:p w14:paraId="3EF56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定期联合商务局举办物联网、智慧交通产业专场沙龙，批量对接优质意向企业，提前开展预招商，提前储备房源对冲下半年空置缺口。</w:t>
      </w:r>
    </w:p>
    <w:p w14:paraId="0CA1F9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（三）补齐硬件短板，跟上市场精装家具主流标准</w:t>
      </w:r>
    </w:p>
    <w:p w14:paraId="65EAF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针对退租房源翻新，统一配置标准化全套办公家具（工位、茶台、会议桌椅、老板套间），实现空置房源拎包入驻，消除客户硬件层面对比劣势；</w:t>
      </w:r>
    </w:p>
    <w:p w14:paraId="663A3E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分阶段翻新园区大堂、公共走廊、电梯厅，升级公区灯光、软装配套，缩小与新建竞品硬件差距；</w:t>
      </w:r>
    </w:p>
    <w:p w14:paraId="38BE91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优化通勤配套，对接小镇公交增加日间接驳班次，弥补地铁距离短板。</w:t>
      </w:r>
    </w:p>
    <w:p w14:paraId="3CD9C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（四）优化定价与招商政策，合规范围内提升竞争力</w:t>
      </w:r>
    </w:p>
    <w:p w14:paraId="3696D3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在国资管控框架内推行差异化租金体系：商务局导入优质科技企业、长期签约客户给予梯度租金优惠；适度分层释放免租期，优质产业客户最长可给到 3 个月，平衡营收与招商去化；适度上调中介渠道佣金，拓宽获客渠道，优先筛选科技类中介客源。</w:t>
      </w:r>
    </w:p>
    <w:p w14:paraId="3AB11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（五）筑牢产业差异化壁垒，规避电商低价内卷</w:t>
      </w:r>
    </w:p>
    <w:p w14:paraId="64D27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持续坚守车联网、物联网、新基建三大主导产业，严格产业准入，限制高流失直播电商批量入驻；常态化开展产业链对接、技术交流活动，强化园区产业集聚优势，依靠稳定优质产业客户，抵御市场价格内卷冲击，从根源降低大面积退租风险。</w:t>
      </w:r>
    </w:p>
    <w:p w14:paraId="4C9E5E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六、调研总结</w:t>
      </w:r>
    </w:p>
    <w:p w14:paraId="1FA113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2026 年二季度滨江办公租赁市场已进入硬件无差异、价格内卷、客户分层明显的深度存量竞争阶段，单纯依靠租金、装修让利的招商模式难以为继，下半年 7000㎡潜在流失面积是园区运营核心风险点。</w:t>
      </w:r>
    </w:p>
    <w:p w14:paraId="7197F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8" w:firstLineChars="200"/>
        <w:textAlignment w:val="auto"/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5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后续工作需跳出传统竞品价格比拼思维，坚持存量维稳筑牢基本盘、政企渠道精准拓优质增量、产业服务构建差异化壁垒三条主线并行：一方面精细化经营现有客户，分层施策降低退租、缩租规模；另一方面深度用好滨江商务局优质企业资源，定向导入匹配园区定位的科创企业，提前补位空置房源；同时逐步补齐精装家具、公区、通勤配套短板，以国企独有的产业赋能服务形成核心竞争力，平稳度过市场调整周期，保障全年出租率与租金收入目标达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小标宋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FFECE"/>
    <w:multiLevelType w:val="singleLevel"/>
    <w:tmpl w:val="8D2FFEC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AC55146"/>
    <w:multiLevelType w:val="singleLevel"/>
    <w:tmpl w:val="7AC5514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0705E"/>
    <w:rsid w:val="05783516"/>
    <w:rsid w:val="104A56EB"/>
    <w:rsid w:val="1A5B5B69"/>
    <w:rsid w:val="1EE937D9"/>
    <w:rsid w:val="23F61699"/>
    <w:rsid w:val="34A1104A"/>
    <w:rsid w:val="44635484"/>
    <w:rsid w:val="49705C14"/>
    <w:rsid w:val="50F0705E"/>
    <w:rsid w:val="563C1E65"/>
    <w:rsid w:val="717C33A8"/>
    <w:rsid w:val="7A3E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qFormat/>
    <w:uiPriority w:val="0"/>
    <w:rPr>
      <w:b/>
      <w:bCs/>
    </w:rPr>
  </w:style>
  <w:style w:type="character" w:customStyle="1" w:styleId="6">
    <w:name w:val="font11"/>
    <w:basedOn w:val="4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7">
    <w:name w:val="font01"/>
    <w:basedOn w:val="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31"/>
    <w:basedOn w:val="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1277</Words>
  <Characters>1351</Characters>
  <Lines>0</Lines>
  <Paragraphs>0</Paragraphs>
  <TotalTime>3</TotalTime>
  <ScaleCrop>false</ScaleCrop>
  <LinksUpToDate>false</LinksUpToDate>
  <CharactersWithSpaces>1357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2026-07-08T07:05:00Z</dcterms:created>
  <dc:creator>hey jude</dc:creator>
  <cp:lastModifiedBy>smmmmmmml</cp:lastModifiedBy>
  <dcterms:modified xsi:type="dcterms:W3CDTF">2026-08-03T07:36:35Z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5AC89B73249940A5BCCD9D4D0B79B948_13</vt:lpwstr>
  </property>
  <property fmtid="{D5CDD505-2E9C-101B-9397-08002B2CF9AE}" pid="4" name="KSOTemplateDocerSaveRecord">
    <vt:lpwstr>eyJoZGlkIjoiNmJjYjY1ZDA0YWE5ZTA2NTBmZTA2YTdiZWVjN2NhODgiLCJ1c2VySWQiOiI0MDE0OTMxMDEifQ==</vt:lpwstr>
  </property>
</Properties>
</file>