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40" w:lineRule="exact"/>
        <w:jc w:val="center"/>
        <w:rPr>
          <w:rFonts w:eastAsia="方正小标宋简体"/>
          <w:color w:val="auto"/>
          <w:sz w:val="44"/>
          <w:szCs w:val="44"/>
        </w:rPr>
      </w:pPr>
      <w:r>
        <w:rPr>
          <w:rFonts w:eastAsia="方正小标宋简体"/>
          <w:color w:val="auto"/>
          <w:sz w:val="44"/>
          <w:szCs w:val="44"/>
        </w:rPr>
        <w:t xml:space="preserve">                                                                                                                                                                                                                                                                                                                                                                                                                                                                                                                                                                                                                                                                                     </w:t>
      </w:r>
    </w:p>
    <w:p>
      <w:pPr>
        <w:spacing w:line="640" w:lineRule="exact"/>
        <w:jc w:val="center"/>
        <w:rPr>
          <w:rFonts w:eastAsia="方正小标宋简体"/>
          <w:color w:val="auto"/>
          <w:sz w:val="44"/>
          <w:szCs w:val="44"/>
        </w:rPr>
      </w:pPr>
    </w:p>
    <w:p>
      <w:pPr>
        <w:spacing w:line="600" w:lineRule="exact"/>
        <w:jc w:val="center"/>
        <w:rPr>
          <w:rFonts w:eastAsia="方正小标宋_GBK"/>
          <w:bCs/>
          <w:color w:val="auto"/>
          <w:sz w:val="44"/>
          <w:szCs w:val="44"/>
        </w:rPr>
      </w:pPr>
      <w:r>
        <w:rPr>
          <w:rFonts w:eastAsia="方正小标宋_GBK"/>
          <w:bCs/>
          <w:color w:val="auto"/>
          <w:sz w:val="44"/>
          <w:szCs w:val="44"/>
        </w:rPr>
        <w:t>杭州市城市建设投资集团有限公司</w:t>
      </w:r>
    </w:p>
    <w:p>
      <w:pPr>
        <w:spacing w:line="600" w:lineRule="exact"/>
        <w:jc w:val="center"/>
        <w:rPr>
          <w:rFonts w:eastAsia="方正小标宋_GBK"/>
          <w:bCs/>
          <w:color w:val="auto"/>
          <w:sz w:val="44"/>
          <w:szCs w:val="44"/>
        </w:rPr>
      </w:pPr>
      <w:r>
        <w:rPr>
          <w:rFonts w:eastAsia="方正小标宋_GBK"/>
          <w:bCs/>
          <w:color w:val="auto"/>
          <w:sz w:val="44"/>
          <w:szCs w:val="44"/>
        </w:rPr>
        <w:t>与杭州市交通投资集团有限公司</w:t>
      </w:r>
    </w:p>
    <w:p>
      <w:pPr>
        <w:spacing w:line="600" w:lineRule="exact"/>
        <w:jc w:val="center"/>
        <w:rPr>
          <w:rFonts w:hint="eastAsia" w:eastAsia="方正小标宋_GBK"/>
          <w:bCs/>
          <w:color w:val="auto"/>
          <w:sz w:val="44"/>
          <w:szCs w:val="44"/>
          <w:lang w:eastAsia="zh-CN"/>
        </w:rPr>
      </w:pPr>
      <w:r>
        <w:rPr>
          <w:rFonts w:eastAsia="方正小标宋_GBK"/>
          <w:bCs/>
          <w:color w:val="auto"/>
          <w:sz w:val="44"/>
          <w:szCs w:val="44"/>
        </w:rPr>
        <w:t>战略合作</w:t>
      </w:r>
      <w:r>
        <w:rPr>
          <w:rFonts w:hint="eastAsia" w:eastAsia="方正小标宋_GBK"/>
          <w:bCs/>
          <w:color w:val="auto"/>
          <w:sz w:val="44"/>
          <w:szCs w:val="44"/>
          <w:lang w:eastAsia="zh-CN"/>
        </w:rPr>
        <w:t>（</w:t>
      </w:r>
      <w:r>
        <w:rPr>
          <w:rFonts w:hint="eastAsia" w:eastAsia="方正小标宋_GBK"/>
          <w:bCs/>
          <w:color w:val="auto"/>
          <w:sz w:val="44"/>
          <w:szCs w:val="44"/>
          <w:lang w:val="en-US" w:eastAsia="zh-CN"/>
        </w:rPr>
        <w:t>能源领域</w:t>
      </w:r>
      <w:r>
        <w:rPr>
          <w:rFonts w:hint="eastAsia" w:eastAsia="方正小标宋_GBK"/>
          <w:bCs/>
          <w:color w:val="auto"/>
          <w:sz w:val="44"/>
          <w:szCs w:val="44"/>
          <w:lang w:eastAsia="zh-CN"/>
        </w:rPr>
        <w:t>）</w:t>
      </w:r>
      <w:r>
        <w:rPr>
          <w:rFonts w:eastAsia="方正小标宋_GBK"/>
          <w:bCs/>
          <w:color w:val="auto"/>
          <w:sz w:val="44"/>
          <w:szCs w:val="44"/>
        </w:rPr>
        <w:t>框架协议</w:t>
      </w:r>
    </w:p>
    <w:p>
      <w:pPr>
        <w:pStyle w:val="7"/>
        <w:rPr>
          <w:rFonts w:ascii="Times New Roman" w:hAnsi="Times New Roman" w:eastAsia="楷体" w:cs="Times New Roman"/>
          <w:b w:val="0"/>
          <w:bCs w:val="0"/>
          <w:color w:val="auto"/>
          <w:sz w:val="24"/>
          <w:szCs w:val="24"/>
        </w:rPr>
      </w:pPr>
    </w:p>
    <w:p>
      <w:pPr>
        <w:spacing w:line="336" w:lineRule="auto"/>
        <w:ind w:firstLine="1269" w:firstLineChars="395"/>
        <w:rPr>
          <w:rFonts w:eastAsia="黑体"/>
          <w:b/>
          <w:color w:val="auto"/>
          <w:sz w:val="32"/>
          <w:szCs w:val="32"/>
        </w:rPr>
      </w:pPr>
    </w:p>
    <w:p>
      <w:pPr>
        <w:spacing w:line="336" w:lineRule="auto"/>
        <w:ind w:firstLine="1269" w:firstLineChars="395"/>
        <w:rPr>
          <w:rFonts w:eastAsia="黑体"/>
          <w:b/>
          <w:color w:val="auto"/>
          <w:sz w:val="32"/>
          <w:szCs w:val="32"/>
        </w:rPr>
      </w:pPr>
    </w:p>
    <w:p>
      <w:pPr>
        <w:spacing w:line="336" w:lineRule="auto"/>
        <w:rPr>
          <w:rFonts w:eastAsia="黑体"/>
          <w:b/>
          <w:color w:val="auto"/>
          <w:sz w:val="32"/>
          <w:szCs w:val="32"/>
        </w:rPr>
      </w:pPr>
    </w:p>
    <w:p>
      <w:pPr>
        <w:pStyle w:val="7"/>
        <w:spacing w:line="336" w:lineRule="auto"/>
        <w:jc w:val="both"/>
        <w:rPr>
          <w:rFonts w:ascii="Times New Roman" w:hAnsi="Times New Roman" w:cs="Times New Roman"/>
          <w:color w:val="auto"/>
        </w:rPr>
      </w:pPr>
    </w:p>
    <w:p>
      <w:pPr>
        <w:spacing w:line="336" w:lineRule="auto"/>
        <w:rPr>
          <w:rFonts w:eastAsia="黑体"/>
          <w:b/>
          <w:color w:val="auto"/>
          <w:sz w:val="32"/>
          <w:szCs w:val="32"/>
        </w:rPr>
      </w:pPr>
    </w:p>
    <w:p>
      <w:pPr>
        <w:spacing w:line="336" w:lineRule="auto"/>
        <w:rPr>
          <w:rFonts w:eastAsia="黑体"/>
          <w:b/>
          <w:color w:val="auto"/>
          <w:sz w:val="32"/>
          <w:szCs w:val="32"/>
        </w:rPr>
      </w:pPr>
    </w:p>
    <w:p>
      <w:pPr>
        <w:spacing w:line="336" w:lineRule="auto"/>
        <w:jc w:val="center"/>
        <w:rPr>
          <w:rFonts w:eastAsia="黑体"/>
          <w:color w:val="auto"/>
          <w:sz w:val="32"/>
          <w:szCs w:val="32"/>
        </w:rPr>
      </w:pPr>
      <w:r>
        <w:rPr>
          <w:rFonts w:eastAsia="黑体"/>
          <w:color w:val="auto"/>
          <w:sz w:val="32"/>
          <w:szCs w:val="32"/>
        </w:rPr>
        <w:t>甲方：杭州市城市建设投资集团有限公司</w:t>
      </w:r>
    </w:p>
    <w:p>
      <w:pPr>
        <w:spacing w:line="336" w:lineRule="auto"/>
        <w:ind w:firstLine="1280" w:firstLineChars="400"/>
        <w:rPr>
          <w:rFonts w:eastAsia="黑体"/>
          <w:color w:val="auto"/>
          <w:sz w:val="32"/>
          <w:szCs w:val="32"/>
        </w:rPr>
      </w:pPr>
      <w:r>
        <w:rPr>
          <w:rFonts w:eastAsia="黑体"/>
          <w:color w:val="auto"/>
          <w:sz w:val="32"/>
          <w:szCs w:val="32"/>
        </w:rPr>
        <w:t xml:space="preserve"> 乙方：杭州市交通投资集团有限公司</w:t>
      </w:r>
    </w:p>
    <w:p>
      <w:pPr>
        <w:spacing w:line="336" w:lineRule="auto"/>
        <w:rPr>
          <w:rFonts w:eastAsia="黑体"/>
          <w:b/>
          <w:color w:val="auto"/>
          <w:sz w:val="32"/>
          <w:szCs w:val="32"/>
        </w:rPr>
      </w:pPr>
    </w:p>
    <w:p>
      <w:pPr>
        <w:spacing w:line="336" w:lineRule="auto"/>
        <w:rPr>
          <w:rFonts w:eastAsia="黑体"/>
          <w:b/>
          <w:color w:val="auto"/>
          <w:sz w:val="32"/>
          <w:szCs w:val="32"/>
        </w:rPr>
      </w:pPr>
    </w:p>
    <w:p>
      <w:pPr>
        <w:spacing w:line="336" w:lineRule="auto"/>
        <w:rPr>
          <w:rFonts w:eastAsia="黑体"/>
          <w:b/>
          <w:color w:val="auto"/>
          <w:sz w:val="32"/>
          <w:szCs w:val="32"/>
        </w:rPr>
      </w:pPr>
    </w:p>
    <w:p>
      <w:pPr>
        <w:pStyle w:val="7"/>
        <w:rPr>
          <w:rFonts w:ascii="Times New Roman" w:hAnsi="Times New Roman" w:cs="Times New Roman"/>
          <w:color w:val="auto"/>
        </w:rPr>
      </w:pPr>
    </w:p>
    <w:p>
      <w:pPr>
        <w:spacing w:line="336" w:lineRule="auto"/>
        <w:jc w:val="center"/>
        <w:rPr>
          <w:rFonts w:eastAsia="黑体"/>
          <w:color w:val="auto"/>
          <w:sz w:val="32"/>
          <w:szCs w:val="32"/>
        </w:rPr>
      </w:pPr>
      <w:r>
        <w:rPr>
          <w:rFonts w:eastAsia="黑体"/>
          <w:color w:val="auto"/>
          <w:sz w:val="32"/>
          <w:szCs w:val="32"/>
        </w:rPr>
        <w:t>二零二三年</w:t>
      </w:r>
      <w:r>
        <w:rPr>
          <w:rFonts w:hint="eastAsia" w:eastAsia="黑体"/>
          <w:color w:val="auto"/>
          <w:sz w:val="32"/>
          <w:szCs w:val="32"/>
          <w:lang w:val="en-US" w:eastAsia="zh-CN"/>
        </w:rPr>
        <w:t>十二</w:t>
      </w:r>
      <w:r>
        <w:rPr>
          <w:rFonts w:eastAsia="黑体"/>
          <w:color w:val="auto"/>
          <w:sz w:val="32"/>
          <w:szCs w:val="32"/>
        </w:rPr>
        <w:t>月</w:t>
      </w:r>
    </w:p>
    <w:p>
      <w:pPr>
        <w:pStyle w:val="7"/>
        <w:spacing w:line="336" w:lineRule="auto"/>
        <w:jc w:val="both"/>
        <w:rPr>
          <w:rFonts w:ascii="Times New Roman" w:hAnsi="Times New Roman" w:cs="Times New Roman"/>
          <w:color w:val="auto"/>
        </w:rPr>
        <w:sectPr>
          <w:headerReference r:id="rId3" w:type="default"/>
          <w:footerReference r:id="rId4" w:type="default"/>
          <w:pgSz w:w="12240" w:h="15840"/>
          <w:pgMar w:top="1440" w:right="1800" w:bottom="1440" w:left="1800" w:header="0" w:footer="921" w:gutter="0"/>
          <w:pgNumType w:fmt="decimal" w:start="1"/>
          <w:cols w:space="720" w:num="1"/>
          <w:docGrid w:linePitch="286" w:charSpace="0"/>
        </w:sectPr>
      </w:pPr>
    </w:p>
    <w:p>
      <w:pPr>
        <w:spacing w:line="560" w:lineRule="exact"/>
        <w:ind w:firstLine="643" w:firstLineChars="200"/>
        <w:jc w:val="left"/>
        <w:rPr>
          <w:rFonts w:eastAsia="仿宋_GB2312"/>
          <w:color w:val="auto"/>
          <w:sz w:val="32"/>
          <w:szCs w:val="32"/>
        </w:rPr>
      </w:pPr>
      <w:r>
        <w:rPr>
          <w:rFonts w:eastAsia="仿宋_GB2312"/>
          <w:b/>
          <w:bCs/>
          <w:color w:val="auto"/>
          <w:sz w:val="32"/>
          <w:szCs w:val="32"/>
        </w:rPr>
        <w:t>杭州市城市建设投资集团有限公司（简称“市城投集团”</w:t>
      </w:r>
      <w:r>
        <w:rPr>
          <w:rFonts w:hint="eastAsia" w:eastAsia="仿宋_GB2312"/>
          <w:b/>
          <w:bCs/>
          <w:color w:val="auto"/>
          <w:sz w:val="32"/>
          <w:szCs w:val="32"/>
        </w:rPr>
        <w:t>、甲方</w:t>
      </w:r>
      <w:r>
        <w:rPr>
          <w:rFonts w:eastAsia="仿宋_GB2312"/>
          <w:b/>
          <w:bCs/>
          <w:color w:val="auto"/>
          <w:sz w:val="32"/>
          <w:szCs w:val="32"/>
        </w:rPr>
        <w:t>）</w:t>
      </w:r>
      <w:r>
        <w:rPr>
          <w:rFonts w:eastAsia="仿宋_GB2312"/>
          <w:color w:val="auto"/>
          <w:sz w:val="32"/>
          <w:szCs w:val="32"/>
        </w:rPr>
        <w:t>，是杭州市政府</w:t>
      </w:r>
      <w:r>
        <w:rPr>
          <w:rFonts w:hint="eastAsia" w:eastAsia="仿宋_GB2312"/>
          <w:color w:val="auto"/>
          <w:sz w:val="32"/>
          <w:szCs w:val="32"/>
        </w:rPr>
        <w:t>设立并</w:t>
      </w:r>
      <w:r>
        <w:rPr>
          <w:rFonts w:eastAsia="仿宋_GB2312"/>
          <w:color w:val="auto"/>
          <w:sz w:val="32"/>
          <w:szCs w:val="32"/>
        </w:rPr>
        <w:t>授权经营国有资产的国有全资</w:t>
      </w:r>
      <w:r>
        <w:rPr>
          <w:rFonts w:hint="eastAsia" w:eastAsia="仿宋_GB2312"/>
          <w:color w:val="auto"/>
          <w:sz w:val="32"/>
          <w:szCs w:val="32"/>
        </w:rPr>
        <w:t>企业</w:t>
      </w:r>
      <w:r>
        <w:rPr>
          <w:rFonts w:eastAsia="仿宋_GB2312"/>
          <w:color w:val="auto"/>
          <w:sz w:val="32"/>
          <w:szCs w:val="32"/>
        </w:rPr>
        <w:t>。根据市委市政府决策部署，市城投集团与市钱投集团整合重组成立新城投集团，形成了水务、公交、能源、安居四家副局级产业集团及多个其他专业化集团组成的“1+4+X”格局，承担产城、水务、公交、能源、安居、城建、置业及投资板块等八大主责主业，集团始终紧扣国企社会责任和市场化经营两方面主动作为，坚持社会效益和经济效益“两个最大化”的发展定位，锚定“以城市公共基础设施投资运营为主的国有资本投资公司”的功能定位，紧紧围绕“为城为民、惟实惟信、产城融合、行稳致远”，打造“国内一流，行业领先，优质高效”新城投的总体目标，以杭州产业发展和城市功能提升的需求为出发点，探索建立以产兴城、以城促产、产融结合的业务协同逻辑，全力以赴为杭州打造世界一流的社会主义现代化国际大都市作出新的贡献。</w:t>
      </w:r>
    </w:p>
    <w:p>
      <w:pPr>
        <w:spacing w:line="360" w:lineRule="auto"/>
        <w:ind w:firstLine="643" w:firstLineChars="200"/>
        <w:rPr>
          <w:rFonts w:eastAsia="仿宋_GB2312"/>
          <w:color w:val="auto"/>
          <w:sz w:val="32"/>
          <w:szCs w:val="32"/>
        </w:rPr>
      </w:pPr>
      <w:r>
        <w:rPr>
          <w:rFonts w:eastAsia="仿宋_GB2312"/>
          <w:b/>
          <w:bCs/>
          <w:color w:val="auto"/>
          <w:sz w:val="32"/>
          <w:szCs w:val="32"/>
        </w:rPr>
        <w:t>杭州市交通投资集团有限公司（简称“市交投集团”</w:t>
      </w:r>
      <w:r>
        <w:rPr>
          <w:rFonts w:hint="eastAsia" w:eastAsia="仿宋_GB2312"/>
          <w:b/>
          <w:bCs/>
          <w:color w:val="auto"/>
          <w:sz w:val="32"/>
          <w:szCs w:val="32"/>
        </w:rPr>
        <w:t>、乙方</w:t>
      </w:r>
      <w:r>
        <w:rPr>
          <w:rFonts w:eastAsia="仿宋_GB2312"/>
          <w:b/>
          <w:bCs/>
          <w:color w:val="auto"/>
          <w:sz w:val="32"/>
          <w:szCs w:val="32"/>
        </w:rPr>
        <w:t>）</w:t>
      </w:r>
      <w:r>
        <w:rPr>
          <w:rFonts w:eastAsia="仿宋_GB2312"/>
          <w:color w:val="auto"/>
          <w:sz w:val="32"/>
          <w:szCs w:val="32"/>
        </w:rPr>
        <w:t>，是杭州市政府</w:t>
      </w:r>
      <w:r>
        <w:rPr>
          <w:rFonts w:hint="eastAsia" w:eastAsia="仿宋_GB2312"/>
          <w:color w:val="auto"/>
          <w:sz w:val="32"/>
          <w:szCs w:val="32"/>
        </w:rPr>
        <w:t>设立并</w:t>
      </w:r>
      <w:r>
        <w:rPr>
          <w:rFonts w:eastAsia="仿宋_GB2312"/>
          <w:color w:val="auto"/>
          <w:sz w:val="32"/>
          <w:szCs w:val="32"/>
        </w:rPr>
        <w:t>授权经营国有资产的国有全资</w:t>
      </w:r>
      <w:r>
        <w:rPr>
          <w:rFonts w:hint="eastAsia" w:eastAsia="仿宋_GB2312"/>
          <w:color w:val="auto"/>
          <w:sz w:val="32"/>
          <w:szCs w:val="32"/>
        </w:rPr>
        <w:t>企业。</w:t>
      </w:r>
      <w:r>
        <w:rPr>
          <w:rFonts w:eastAsia="仿宋_GB2312"/>
          <w:color w:val="auto"/>
          <w:sz w:val="32"/>
          <w:szCs w:val="32"/>
        </w:rPr>
        <w:t>作为杭州交通基础设施建设主力军、交通国有资产保值增值主平台、区域物流主载体，</w:t>
      </w:r>
      <w:r>
        <w:rPr>
          <w:rFonts w:hint="eastAsia" w:eastAsia="仿宋_GB2312"/>
          <w:color w:val="auto"/>
          <w:sz w:val="32"/>
          <w:szCs w:val="32"/>
        </w:rPr>
        <w:t>市</w:t>
      </w:r>
      <w:r>
        <w:rPr>
          <w:rFonts w:eastAsia="仿宋_GB2312"/>
          <w:color w:val="auto"/>
          <w:sz w:val="32"/>
          <w:szCs w:val="32"/>
        </w:rPr>
        <w:t>交投集团肩负“交通项目投资融资”和“交通资产保值增值”职责，构建起“公铁水基并进、建设开发并重”的综合交通发展格局，形成集综合交通工程建设、道路客货运输、收费公路养护营运、港口码头船闸经营、现代交通物流、房地产开发、土地开发收储等多业态于一体的发展新体系。</w:t>
      </w:r>
      <w:r>
        <w:rPr>
          <w:rFonts w:hint="eastAsia" w:eastAsia="仿宋_GB2312"/>
          <w:color w:val="auto"/>
          <w:sz w:val="32"/>
          <w:szCs w:val="32"/>
        </w:rPr>
        <w:t>站在“后亚运”的新起点以及杭州迈入超大城市的新阶段，集团</w:t>
      </w:r>
      <w:r>
        <w:rPr>
          <w:rFonts w:eastAsia="仿宋_GB2312"/>
          <w:color w:val="auto"/>
          <w:sz w:val="32"/>
          <w:szCs w:val="32"/>
        </w:rPr>
        <w:t>将立足交通守初心，千亿台阶再出发，</w:t>
      </w:r>
      <w:r>
        <w:rPr>
          <w:rFonts w:hint="eastAsia" w:eastAsia="仿宋_GB2312"/>
          <w:color w:val="auto"/>
          <w:sz w:val="32"/>
          <w:szCs w:val="32"/>
        </w:rPr>
        <w:t>持续</w:t>
      </w:r>
      <w:r>
        <w:rPr>
          <w:rFonts w:eastAsia="仿宋_GB2312"/>
          <w:color w:val="auto"/>
          <w:sz w:val="32"/>
          <w:szCs w:val="32"/>
        </w:rPr>
        <w:t>争当一流综合交通建设投资主力军</w:t>
      </w:r>
      <w:r>
        <w:rPr>
          <w:rFonts w:hint="eastAsia" w:eastAsia="仿宋_GB2312"/>
          <w:color w:val="auto"/>
          <w:sz w:val="32"/>
          <w:szCs w:val="32"/>
        </w:rPr>
        <w:t>，</w:t>
      </w:r>
      <w:r>
        <w:rPr>
          <w:rFonts w:eastAsia="仿宋_GB2312"/>
          <w:color w:val="auto"/>
          <w:sz w:val="32"/>
          <w:szCs w:val="32"/>
        </w:rPr>
        <w:t>增强市属国有企业建设资源的集中整合功能和打造综合交通产业高质量发展的样板，成为长三角区域综合交通产业领域的重要企业，全面助力杭州建设交通强国示范城市</w:t>
      </w:r>
      <w:r>
        <w:rPr>
          <w:rFonts w:hint="eastAsia" w:eastAsia="仿宋_GB2312"/>
          <w:color w:val="auto"/>
          <w:sz w:val="32"/>
          <w:szCs w:val="32"/>
        </w:rPr>
        <w:t>、</w:t>
      </w:r>
      <w:r>
        <w:rPr>
          <w:rFonts w:eastAsia="仿宋_GB2312"/>
          <w:color w:val="auto"/>
          <w:sz w:val="32"/>
          <w:szCs w:val="32"/>
        </w:rPr>
        <w:t>打造世界一流的社会主义现代化国际大都市。</w:t>
      </w:r>
    </w:p>
    <w:p>
      <w:pPr>
        <w:pStyle w:val="15"/>
        <w:ind w:firstLine="640" w:firstLineChars="200"/>
        <w:rPr>
          <w:rFonts w:hint="eastAsia" w:ascii="Times New Roman" w:hAnsi="Times New Roman" w:eastAsia="黑体" w:cs="Times New Roman"/>
          <w:color w:val="auto"/>
          <w:kern w:val="2"/>
          <w:sz w:val="32"/>
          <w:szCs w:val="32"/>
          <w:lang w:val="en-US" w:eastAsia="zh-CN"/>
        </w:rPr>
      </w:pPr>
      <w:r>
        <w:rPr>
          <w:rFonts w:ascii="Times New Roman" w:hAnsi="Times New Roman" w:eastAsia="黑体" w:cs="Times New Roman"/>
          <w:color w:val="auto"/>
          <w:kern w:val="2"/>
          <w:sz w:val="32"/>
          <w:szCs w:val="32"/>
        </w:rPr>
        <w:t>第一条 合作</w:t>
      </w:r>
      <w:r>
        <w:rPr>
          <w:rFonts w:hint="eastAsia" w:ascii="Times New Roman" w:hAnsi="Times New Roman" w:eastAsia="黑体" w:cs="Times New Roman"/>
          <w:color w:val="auto"/>
          <w:kern w:val="2"/>
          <w:sz w:val="32"/>
          <w:szCs w:val="32"/>
          <w:lang w:val="en-US" w:eastAsia="zh-CN"/>
        </w:rPr>
        <w:t>背景</w:t>
      </w:r>
    </w:p>
    <w:p>
      <w:pPr>
        <w:spacing w:line="560" w:lineRule="exact"/>
        <w:ind w:firstLine="640" w:firstLineChars="200"/>
        <w:rPr>
          <w:color w:val="auto"/>
        </w:rPr>
      </w:pPr>
      <w:r>
        <w:rPr>
          <w:rFonts w:eastAsia="仿宋_GB2312"/>
          <w:color w:val="auto"/>
          <w:sz w:val="32"/>
          <w:szCs w:val="32"/>
        </w:rPr>
        <w:t>为全面贯彻落实国家和省、市战略部署，凝心聚力推动碳中和、碳达峰的关键期和窗口期，深入推进全市能源低碳绿色发展和保供稳价工作，有效推动全市用能结构转型。市城投集团与市交投集团深入贯彻时代发展主题，进一步发挥各自的专业优势和资源优势，以“拓宽合作领域、丰富合作方式、创新合作机制、提升合作质量”为宗旨，合作发展、互利共赢，建立紧密型战略合作关系，深化交流合作活动。</w:t>
      </w:r>
    </w:p>
    <w:p>
      <w:pPr>
        <w:ind w:firstLine="640" w:firstLineChars="200"/>
        <w:rPr>
          <w:rFonts w:eastAsia="黑体"/>
          <w:color w:val="auto"/>
          <w:sz w:val="32"/>
          <w:szCs w:val="32"/>
        </w:rPr>
      </w:pPr>
      <w:r>
        <w:rPr>
          <w:rFonts w:eastAsia="黑体"/>
          <w:color w:val="auto"/>
          <w:sz w:val="32"/>
          <w:szCs w:val="32"/>
        </w:rPr>
        <w:t>第二条 合作原则</w:t>
      </w:r>
    </w:p>
    <w:p>
      <w:pPr>
        <w:pStyle w:val="16"/>
        <w:spacing w:line="560" w:lineRule="atLeast"/>
        <w:ind w:firstLine="643" w:firstLineChars="200"/>
        <w:rPr>
          <w:rFonts w:eastAsia="仿宋_GB2312"/>
          <w:color w:val="auto"/>
          <w:kern w:val="2"/>
          <w:sz w:val="32"/>
          <w:szCs w:val="32"/>
        </w:rPr>
      </w:pPr>
      <w:r>
        <w:rPr>
          <w:rFonts w:eastAsia="楷体_GB2312"/>
          <w:b/>
          <w:bCs/>
          <w:color w:val="auto"/>
          <w:kern w:val="2"/>
          <w:sz w:val="32"/>
          <w:szCs w:val="32"/>
        </w:rPr>
        <w:t>1.开放公平、互惠互利。</w:t>
      </w:r>
      <w:r>
        <w:rPr>
          <w:rFonts w:eastAsia="仿宋_GB2312"/>
          <w:color w:val="auto"/>
          <w:kern w:val="2"/>
          <w:sz w:val="32"/>
          <w:szCs w:val="32"/>
        </w:rPr>
        <w:t>公平开放地推进双方合作，拓展发展空间，共创美好未来。</w:t>
      </w:r>
    </w:p>
    <w:p>
      <w:pPr>
        <w:pStyle w:val="16"/>
        <w:spacing w:line="560" w:lineRule="atLeast"/>
        <w:ind w:firstLine="643" w:firstLineChars="200"/>
        <w:rPr>
          <w:rFonts w:eastAsia="仿宋"/>
          <w:color w:val="auto"/>
          <w:kern w:val="2"/>
          <w:sz w:val="32"/>
          <w:szCs w:val="32"/>
        </w:rPr>
      </w:pPr>
      <w:r>
        <w:rPr>
          <w:rFonts w:eastAsia="楷体_GB2312"/>
          <w:b/>
          <w:bCs/>
          <w:color w:val="auto"/>
          <w:kern w:val="2"/>
          <w:sz w:val="32"/>
          <w:szCs w:val="32"/>
        </w:rPr>
        <w:t>2.优势互补、合作共赢。</w:t>
      </w:r>
      <w:r>
        <w:rPr>
          <w:rFonts w:eastAsia="仿宋_GB2312"/>
          <w:color w:val="auto"/>
          <w:kern w:val="2"/>
          <w:sz w:val="32"/>
          <w:szCs w:val="32"/>
        </w:rPr>
        <w:t>充分发挥各自优势，加强合作，形成优势集成与互补。双方落实合作措施提高合作效益和水平，推动加快发展，实现合作共赢。</w:t>
      </w:r>
    </w:p>
    <w:p>
      <w:pPr>
        <w:pStyle w:val="16"/>
        <w:spacing w:line="560" w:lineRule="atLeast"/>
        <w:ind w:firstLine="640" w:firstLineChars="200"/>
        <w:jc w:val="both"/>
        <w:rPr>
          <w:rFonts w:eastAsia="黑体"/>
          <w:color w:val="auto"/>
          <w:sz w:val="32"/>
          <w:szCs w:val="32"/>
        </w:rPr>
      </w:pPr>
      <w:r>
        <w:rPr>
          <w:rFonts w:eastAsia="黑体"/>
          <w:color w:val="auto"/>
          <w:sz w:val="32"/>
          <w:szCs w:val="32"/>
        </w:rPr>
        <w:t>第三条 合作领域</w:t>
      </w:r>
    </w:p>
    <w:p>
      <w:pPr>
        <w:spacing w:line="560" w:lineRule="exact"/>
        <w:ind w:firstLine="640" w:firstLineChars="200"/>
        <w:rPr>
          <w:rFonts w:eastAsia="仿宋_GB2312"/>
          <w:color w:val="auto"/>
          <w:sz w:val="32"/>
          <w:szCs w:val="32"/>
        </w:rPr>
      </w:pPr>
      <w:r>
        <w:rPr>
          <w:rFonts w:eastAsia="仿宋_GB2312"/>
          <w:color w:val="auto"/>
          <w:sz w:val="32"/>
          <w:szCs w:val="32"/>
        </w:rPr>
        <w:t>立足</w:t>
      </w:r>
      <w:r>
        <w:rPr>
          <w:rFonts w:hint="eastAsia" w:eastAsia="仿宋_GB2312"/>
          <w:color w:val="auto"/>
          <w:sz w:val="32"/>
          <w:szCs w:val="32"/>
          <w:lang w:val="en-US" w:eastAsia="zh-CN"/>
        </w:rPr>
        <w:t>双方需求</w:t>
      </w:r>
      <w:r>
        <w:rPr>
          <w:rFonts w:eastAsia="仿宋_GB2312"/>
          <w:color w:val="auto"/>
          <w:sz w:val="32"/>
          <w:szCs w:val="32"/>
        </w:rPr>
        <w:t>，共同探索经济效益和能源双控的新模式，双方在交通</w:t>
      </w:r>
      <w:r>
        <w:rPr>
          <w:rFonts w:hint="eastAsia" w:eastAsia="仿宋_GB2312"/>
          <w:color w:val="auto"/>
          <w:sz w:val="32"/>
          <w:szCs w:val="32"/>
          <w:lang w:val="en-US" w:eastAsia="zh-CN"/>
        </w:rPr>
        <w:t>建设</w:t>
      </w:r>
      <w:r>
        <w:rPr>
          <w:rFonts w:eastAsia="仿宋_GB2312"/>
          <w:color w:val="auto"/>
          <w:sz w:val="32"/>
          <w:szCs w:val="32"/>
        </w:rPr>
        <w:t>（高速公路、高速铁路）、区域开发（西站枢纽区域、钱塘枢纽区域、双铁盖板、艮山门动车所盖板等）、内河水运（港口码头船闸</w:t>
      </w:r>
      <w:r>
        <w:rPr>
          <w:rFonts w:hint="eastAsia" w:eastAsia="仿宋_GB2312"/>
          <w:color w:val="auto"/>
          <w:sz w:val="32"/>
          <w:szCs w:val="32"/>
        </w:rPr>
        <w:t>运</w:t>
      </w:r>
      <w:r>
        <w:rPr>
          <w:rFonts w:eastAsia="仿宋_GB2312"/>
          <w:color w:val="auto"/>
          <w:sz w:val="32"/>
          <w:szCs w:val="32"/>
        </w:rPr>
        <w:t>营等）等</w:t>
      </w:r>
      <w:r>
        <w:rPr>
          <w:rFonts w:hint="eastAsia" w:eastAsia="仿宋_GB2312"/>
          <w:color w:val="auto"/>
          <w:sz w:val="32"/>
          <w:szCs w:val="32"/>
          <w:lang w:val="en-US" w:eastAsia="zh-CN"/>
        </w:rPr>
        <w:t>实施</w:t>
      </w:r>
      <w:r>
        <w:rPr>
          <w:rFonts w:eastAsia="仿宋_GB2312"/>
          <w:color w:val="auto"/>
          <w:sz w:val="32"/>
          <w:szCs w:val="32"/>
        </w:rPr>
        <w:t>过程中开展合作。</w:t>
      </w:r>
    </w:p>
    <w:p>
      <w:pPr>
        <w:ind w:firstLine="640" w:firstLineChars="200"/>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发挥双方优势，共同推动绿色制造、电力工程和能源技术服务，共同推动杭州城市发展及项目建设过程中的燃气工程建设、燃气管道迁改等配套能源项目的实施。</w:t>
      </w:r>
    </w:p>
    <w:p>
      <w:pPr>
        <w:ind w:firstLine="640" w:firstLineChars="200"/>
        <w:rPr>
          <w:rFonts w:eastAsia="黑体"/>
          <w:color w:val="auto"/>
        </w:rPr>
      </w:pPr>
      <w:r>
        <w:rPr>
          <w:rFonts w:eastAsia="黑体"/>
          <w:color w:val="auto"/>
          <w:sz w:val="32"/>
          <w:szCs w:val="32"/>
        </w:rPr>
        <w:t>第四条 合作内容</w:t>
      </w:r>
    </w:p>
    <w:p>
      <w:pPr>
        <w:pStyle w:val="3"/>
        <w:spacing w:after="0" w:line="560" w:lineRule="exact"/>
        <w:ind w:firstLine="643" w:firstLineChars="200"/>
        <w:rPr>
          <w:rFonts w:eastAsia="楷体_GB2312"/>
          <w:b/>
          <w:bCs/>
          <w:color w:val="auto"/>
          <w:sz w:val="32"/>
          <w:szCs w:val="32"/>
        </w:rPr>
      </w:pPr>
      <w:r>
        <w:rPr>
          <w:rFonts w:eastAsia="楷体_GB2312"/>
          <w:b/>
          <w:bCs/>
          <w:color w:val="auto"/>
          <w:sz w:val="32"/>
          <w:szCs w:val="32"/>
        </w:rPr>
        <w:t>（一）客运枢纽光充融合，优化联运体系能源结构</w:t>
      </w:r>
    </w:p>
    <w:p>
      <w:pPr>
        <w:spacing w:line="560" w:lineRule="atLeast"/>
        <w:ind w:firstLine="640" w:firstLineChars="200"/>
        <w:textAlignment w:val="baseline"/>
        <w:rPr>
          <w:rFonts w:eastAsia="仿宋_GB2312"/>
          <w:color w:val="auto"/>
          <w:sz w:val="32"/>
          <w:szCs w:val="32"/>
        </w:rPr>
      </w:pPr>
      <w:r>
        <w:rPr>
          <w:rFonts w:eastAsia="仿宋_GB2312"/>
          <w:color w:val="auto"/>
          <w:sz w:val="32"/>
          <w:szCs w:val="32"/>
        </w:rPr>
        <w:t xml:space="preserve">铁路杭州萧山机场站枢纽是杭州市新一轮铁路枢纽 </w:t>
      </w:r>
      <w:r>
        <w:rPr>
          <w:rFonts w:hint="eastAsia" w:eastAsia="仿宋_GB2312"/>
          <w:color w:val="auto"/>
          <w:sz w:val="32"/>
          <w:szCs w:val="32"/>
        </w:rPr>
        <w:t>“</w:t>
      </w:r>
      <w:r>
        <w:rPr>
          <w:rFonts w:eastAsia="仿宋_GB2312"/>
          <w:color w:val="auto"/>
          <w:sz w:val="32"/>
          <w:szCs w:val="32"/>
        </w:rPr>
        <w:t>一轴两翼</w:t>
      </w:r>
      <w:r>
        <w:rPr>
          <w:rFonts w:hint="eastAsia" w:eastAsia="仿宋_GB2312"/>
          <w:color w:val="auto"/>
          <w:sz w:val="32"/>
          <w:szCs w:val="32"/>
        </w:rPr>
        <w:t>”</w:t>
      </w:r>
      <w:r>
        <w:rPr>
          <w:rFonts w:eastAsia="仿宋_GB2312"/>
          <w:color w:val="auto"/>
          <w:sz w:val="32"/>
          <w:szCs w:val="32"/>
        </w:rPr>
        <w:t>布局中的东翼通道，钱塘、海宁观潮客运站作为铁路杭州萧山机场站枢纽的重要一环，在其屋面、停车场实施光伏、充电桩建设，可进一步提升场站空间利用率、能源自给性、便民服务性，加快实现空铁联运体系减污降碳、能源结构优化目标。</w:t>
      </w:r>
    </w:p>
    <w:p>
      <w:pPr>
        <w:pStyle w:val="15"/>
        <w:ind w:firstLine="643" w:firstLineChars="200"/>
        <w:rPr>
          <w:rFonts w:ascii="Times New Roman" w:hAnsi="Times New Roman" w:eastAsia="楷体_GB2312" w:cs="Times New Roman"/>
          <w:b/>
          <w:bCs/>
          <w:color w:val="auto"/>
          <w:kern w:val="2"/>
          <w:sz w:val="32"/>
          <w:szCs w:val="32"/>
        </w:rPr>
      </w:pPr>
      <w:r>
        <w:rPr>
          <w:rFonts w:ascii="Times New Roman" w:hAnsi="Times New Roman" w:eastAsia="楷体_GB2312" w:cs="Times New Roman"/>
          <w:b/>
          <w:bCs/>
          <w:color w:val="auto"/>
          <w:kern w:val="2"/>
          <w:sz w:val="32"/>
          <w:szCs w:val="32"/>
        </w:rPr>
        <w:t>（二）引领高速低碳示范，</w:t>
      </w:r>
      <w:r>
        <w:rPr>
          <w:rFonts w:hint="eastAsia" w:ascii="Times New Roman" w:hAnsi="Times New Roman" w:eastAsia="楷体_GB2312" w:cs="Times New Roman"/>
          <w:b/>
          <w:bCs/>
          <w:color w:val="auto"/>
          <w:kern w:val="2"/>
          <w:sz w:val="32"/>
          <w:szCs w:val="32"/>
        </w:rPr>
        <w:t>推进</w:t>
      </w:r>
      <w:r>
        <w:rPr>
          <w:rFonts w:ascii="Times New Roman" w:hAnsi="Times New Roman" w:eastAsia="楷体_GB2312" w:cs="Times New Roman"/>
          <w:b/>
          <w:bCs/>
          <w:color w:val="auto"/>
          <w:kern w:val="2"/>
          <w:sz w:val="32"/>
          <w:szCs w:val="32"/>
        </w:rPr>
        <w:t>城际交通绿色发展</w:t>
      </w:r>
    </w:p>
    <w:p>
      <w:pPr>
        <w:pStyle w:val="15"/>
        <w:ind w:firstLine="640" w:firstLineChars="200"/>
        <w:rPr>
          <w:rFonts w:ascii="Times New Roman" w:hAnsi="Times New Roman" w:cs="Times New Roman"/>
          <w:color w:val="auto"/>
          <w:sz w:val="32"/>
          <w:szCs w:val="32"/>
        </w:rPr>
      </w:pPr>
      <w:r>
        <w:rPr>
          <w:rFonts w:ascii="Times New Roman" w:hAnsi="Times New Roman" w:cs="Times New Roman"/>
          <w:color w:val="auto"/>
          <w:sz w:val="32"/>
          <w:szCs w:val="32"/>
        </w:rPr>
        <w:t>在高速</w:t>
      </w:r>
      <w:r>
        <w:rPr>
          <w:rFonts w:hint="eastAsia" w:ascii="Times New Roman" w:hAnsi="Times New Roman" w:cs="Times New Roman"/>
          <w:color w:val="auto"/>
          <w:sz w:val="32"/>
          <w:szCs w:val="32"/>
          <w:lang w:val="en-US" w:eastAsia="zh-CN"/>
        </w:rPr>
        <w:t>公路</w:t>
      </w:r>
      <w:r>
        <w:rPr>
          <w:rFonts w:ascii="Times New Roman" w:hAnsi="Times New Roman" w:cs="Times New Roman"/>
          <w:color w:val="auto"/>
          <w:sz w:val="32"/>
          <w:szCs w:val="32"/>
        </w:rPr>
        <w:t>项目边坡、服务区、隔离带、互通立交、匝道闲置土地等位置实施光伏应用，进一步挖掘利用交通存量资源潜力，推进高速公路低碳环保示范路建设。在对应高速服务站点实施新能源乘、商用车充换电基础设施建设，增加区间补能选择，提升区间补能效率，助力城际物流、货运、交通绿色发展。</w:t>
      </w:r>
    </w:p>
    <w:p>
      <w:pPr>
        <w:pStyle w:val="15"/>
        <w:ind w:firstLine="643" w:firstLineChars="200"/>
        <w:rPr>
          <w:rFonts w:ascii="Times New Roman" w:hAnsi="Times New Roman" w:eastAsia="楷体_GB2312" w:cs="Times New Roman"/>
          <w:b/>
          <w:bCs/>
          <w:color w:val="auto"/>
          <w:kern w:val="2"/>
          <w:sz w:val="32"/>
          <w:szCs w:val="32"/>
        </w:rPr>
      </w:pPr>
      <w:r>
        <w:rPr>
          <w:rFonts w:ascii="Times New Roman" w:hAnsi="Times New Roman" w:eastAsia="楷体_GB2312" w:cs="Times New Roman"/>
          <w:b/>
          <w:bCs/>
          <w:color w:val="auto"/>
          <w:kern w:val="2"/>
          <w:sz w:val="32"/>
          <w:szCs w:val="32"/>
        </w:rPr>
        <w:t>（三）发挥产业协同效应，助力杭州迈向国际化大都市</w:t>
      </w:r>
    </w:p>
    <w:p>
      <w:pPr>
        <w:pStyle w:val="3"/>
        <w:spacing w:after="0" w:line="560" w:lineRule="exact"/>
        <w:ind w:firstLine="640" w:firstLineChars="200"/>
        <w:jc w:val="both"/>
        <w:rPr>
          <w:rFonts w:hint="eastAsia" w:ascii="仿宋_GB2312" w:hAnsi="仿宋_GB2312" w:eastAsia="仿宋_GB2312" w:cs="仿宋_GB2312"/>
          <w:color w:val="auto"/>
          <w:sz w:val="32"/>
          <w:szCs w:val="32"/>
        </w:rPr>
      </w:pPr>
      <w:r>
        <w:rPr>
          <w:rFonts w:eastAsia="仿宋_GB2312"/>
          <w:color w:val="auto"/>
          <w:sz w:val="32"/>
          <w:szCs w:val="32"/>
        </w:rPr>
        <w:t>以西站枢纽高铁新城区域内的储能项目为切入点，结合各类低碳应用场景，在西站枢纽综合能源站（</w:t>
      </w:r>
      <w:bookmarkStart w:id="0" w:name="_GoBack"/>
      <w:bookmarkEnd w:id="0"/>
      <w:r>
        <w:rPr>
          <w:rFonts w:eastAsia="仿宋_GB2312"/>
          <w:color w:val="auto"/>
          <w:sz w:val="32"/>
          <w:szCs w:val="32"/>
        </w:rPr>
        <w:t>新能源驿站）、低碳公园、区域</w:t>
      </w:r>
      <w:r>
        <w:rPr>
          <w:rFonts w:hint="eastAsia" w:ascii="仿宋_GB2312" w:hAnsi="仿宋_GB2312" w:eastAsia="仿宋_GB2312" w:cs="仿宋_GB2312"/>
          <w:color w:val="auto"/>
          <w:sz w:val="32"/>
          <w:szCs w:val="32"/>
        </w:rPr>
        <w:t>集中供能、电化学储能、充电桩、换电站、购售电等方面开展合作，发挥产业“1+1&gt;2”协同效应，促进都市圈高速发展，助力杭州迈向国际化大都市，推动</w:t>
      </w: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color w:val="auto"/>
          <w:sz w:val="32"/>
          <w:szCs w:val="32"/>
        </w:rPr>
        <w:instrText xml:space="preserve"> HYPERLINK "https://baike.baidu.com/item/%E6%B5%99%E6%B1%9F%E9%AB%98%E8%B4%A8%E9%87%8F%E5%8F%91%E5%B1%95%E5%BB%BA%E8%AE%BE%E5%85%B1%E5%90%8C%E5%AF%8C%E8%A3%95%E7%A4%BA%E8%8C%83%E5%8C%BA/57222804?fromModule=lemma_inlink" \t "https://baike.baidu.com/item/%E6%9D%AD%E5%B7%9E%E6%9C%BA%E5%9C%BA%E9%AB%98%E9%93%81/_blank" </w:instrText>
      </w:r>
      <w:r>
        <w:rPr>
          <w:rFonts w:hint="eastAsia" w:ascii="仿宋_GB2312" w:hAnsi="仿宋_GB2312" w:eastAsia="仿宋_GB2312" w:cs="仿宋_GB2312"/>
          <w:color w:val="auto"/>
          <w:sz w:val="32"/>
          <w:szCs w:val="32"/>
        </w:rPr>
        <w:fldChar w:fldCharType="separate"/>
      </w:r>
      <w:r>
        <w:rPr>
          <w:rFonts w:hint="eastAsia" w:ascii="仿宋_GB2312" w:hAnsi="仿宋_GB2312" w:eastAsia="仿宋_GB2312" w:cs="仿宋_GB2312"/>
          <w:color w:val="auto"/>
          <w:sz w:val="32"/>
          <w:szCs w:val="32"/>
        </w:rPr>
        <w:t>浙江高质量发展建设共同富裕示范区</w:t>
      </w:r>
      <w:r>
        <w:rPr>
          <w:rFonts w:hint="eastAsia" w:ascii="仿宋_GB2312" w:hAnsi="仿宋_GB2312" w:eastAsia="仿宋_GB2312" w:cs="仿宋_GB2312"/>
          <w:color w:val="auto"/>
          <w:sz w:val="32"/>
          <w:szCs w:val="32"/>
        </w:rPr>
        <w:fldChar w:fldCharType="end"/>
      </w:r>
      <w:r>
        <w:rPr>
          <w:rFonts w:hint="eastAsia" w:ascii="仿宋_GB2312" w:hAnsi="仿宋_GB2312" w:eastAsia="仿宋_GB2312" w:cs="仿宋_GB2312"/>
          <w:color w:val="auto"/>
          <w:sz w:val="32"/>
          <w:szCs w:val="32"/>
        </w:rPr>
        <w:t>。</w:t>
      </w:r>
    </w:p>
    <w:p>
      <w:pPr>
        <w:pStyle w:val="15"/>
        <w:ind w:firstLine="643" w:firstLineChars="200"/>
        <w:rPr>
          <w:rFonts w:ascii="Times New Roman" w:hAnsi="Times New Roman" w:eastAsia="楷体_GB2312" w:cs="Times New Roman"/>
          <w:b/>
          <w:bCs/>
          <w:color w:val="auto"/>
          <w:kern w:val="2"/>
          <w:sz w:val="32"/>
          <w:szCs w:val="32"/>
        </w:rPr>
      </w:pPr>
      <w:r>
        <w:rPr>
          <w:rFonts w:ascii="Times New Roman" w:hAnsi="Times New Roman" w:eastAsia="楷体_GB2312" w:cs="Times New Roman"/>
          <w:b/>
          <w:bCs/>
          <w:color w:val="auto"/>
          <w:kern w:val="2"/>
          <w:sz w:val="32"/>
          <w:szCs w:val="32"/>
        </w:rPr>
        <w:t>（</w:t>
      </w:r>
      <w:r>
        <w:rPr>
          <w:rFonts w:hint="eastAsia" w:ascii="Times New Roman" w:hAnsi="Times New Roman" w:eastAsia="楷体_GB2312" w:cs="Times New Roman"/>
          <w:b/>
          <w:bCs/>
          <w:color w:val="auto"/>
          <w:kern w:val="2"/>
          <w:sz w:val="32"/>
          <w:szCs w:val="32"/>
        </w:rPr>
        <w:t>四</w:t>
      </w:r>
      <w:r>
        <w:rPr>
          <w:rFonts w:ascii="Times New Roman" w:hAnsi="Times New Roman" w:eastAsia="楷体_GB2312" w:cs="Times New Roman"/>
          <w:b/>
          <w:bCs/>
          <w:color w:val="auto"/>
          <w:kern w:val="2"/>
          <w:sz w:val="32"/>
          <w:szCs w:val="32"/>
        </w:rPr>
        <w:t>）发挥</w:t>
      </w:r>
      <w:r>
        <w:rPr>
          <w:rFonts w:hint="eastAsia" w:ascii="Times New Roman" w:hAnsi="Times New Roman" w:eastAsia="楷体_GB2312" w:cs="Times New Roman"/>
          <w:b/>
          <w:bCs/>
          <w:color w:val="auto"/>
          <w:kern w:val="2"/>
          <w:sz w:val="32"/>
          <w:szCs w:val="32"/>
        </w:rPr>
        <w:t>双方资源及业务优势</w:t>
      </w:r>
      <w:r>
        <w:rPr>
          <w:rFonts w:ascii="Times New Roman" w:hAnsi="Times New Roman" w:eastAsia="楷体_GB2312" w:cs="Times New Roman"/>
          <w:b/>
          <w:bCs/>
          <w:color w:val="auto"/>
          <w:kern w:val="2"/>
          <w:sz w:val="32"/>
          <w:szCs w:val="32"/>
        </w:rPr>
        <w:t>，</w:t>
      </w:r>
      <w:r>
        <w:rPr>
          <w:rFonts w:hint="eastAsia" w:ascii="Times New Roman" w:hAnsi="Times New Roman" w:eastAsia="楷体_GB2312" w:cs="Times New Roman"/>
          <w:b/>
          <w:bCs/>
          <w:color w:val="auto"/>
          <w:kern w:val="2"/>
          <w:sz w:val="32"/>
          <w:szCs w:val="32"/>
        </w:rPr>
        <w:t>共同推动绿色制造、工程</w:t>
      </w:r>
      <w:r>
        <w:rPr>
          <w:rFonts w:hint="eastAsia" w:ascii="Times New Roman" w:hAnsi="Times New Roman" w:eastAsia="楷体_GB2312" w:cs="Times New Roman"/>
          <w:b/>
          <w:bCs/>
          <w:color w:val="auto"/>
          <w:kern w:val="2"/>
          <w:sz w:val="32"/>
          <w:szCs w:val="32"/>
          <w:lang w:val="en-US" w:eastAsia="zh-CN"/>
        </w:rPr>
        <w:t>实施</w:t>
      </w:r>
      <w:r>
        <w:rPr>
          <w:rFonts w:hint="eastAsia" w:ascii="Times New Roman" w:hAnsi="Times New Roman" w:eastAsia="楷体_GB2312" w:cs="Times New Roman"/>
          <w:b/>
          <w:bCs/>
          <w:color w:val="auto"/>
          <w:kern w:val="2"/>
          <w:sz w:val="32"/>
          <w:szCs w:val="32"/>
        </w:rPr>
        <w:t>和能源技术服务</w:t>
      </w:r>
    </w:p>
    <w:p>
      <w:pPr>
        <w:pStyle w:val="15"/>
        <w:ind w:firstLine="640" w:firstLineChars="200"/>
        <w:rPr>
          <w:color w:val="auto"/>
          <w:sz w:val="32"/>
          <w:szCs w:val="32"/>
        </w:rPr>
      </w:pPr>
      <w:r>
        <w:rPr>
          <w:rFonts w:hint="eastAsia"/>
          <w:color w:val="auto"/>
          <w:sz w:val="32"/>
          <w:szCs w:val="32"/>
          <w:lang w:val="en-US" w:eastAsia="zh-CN"/>
        </w:rPr>
        <w:t>1、</w:t>
      </w:r>
      <w:r>
        <w:rPr>
          <w:rFonts w:hint="eastAsia"/>
          <w:color w:val="auto"/>
          <w:sz w:val="32"/>
          <w:szCs w:val="32"/>
        </w:rPr>
        <w:t>甲、乙双方有关企业在电力设备制造、</w:t>
      </w:r>
      <w:r>
        <w:rPr>
          <w:color w:val="auto"/>
          <w:sz w:val="32"/>
          <w:szCs w:val="32"/>
        </w:rPr>
        <w:t>发电输电</w:t>
      </w:r>
      <w:r>
        <w:rPr>
          <w:rFonts w:hint="eastAsia"/>
          <w:color w:val="auto"/>
          <w:sz w:val="32"/>
          <w:szCs w:val="32"/>
        </w:rPr>
        <w:t>、</w:t>
      </w:r>
      <w:r>
        <w:rPr>
          <w:color w:val="auto"/>
          <w:sz w:val="32"/>
          <w:szCs w:val="32"/>
        </w:rPr>
        <w:t>电力设施工程</w:t>
      </w:r>
      <w:r>
        <w:rPr>
          <w:rFonts w:hint="eastAsia"/>
          <w:color w:val="auto"/>
          <w:sz w:val="32"/>
          <w:szCs w:val="32"/>
        </w:rPr>
        <w:t>以及</w:t>
      </w:r>
      <w:r>
        <w:rPr>
          <w:color w:val="auto"/>
          <w:sz w:val="32"/>
          <w:szCs w:val="32"/>
        </w:rPr>
        <w:t>能源技术研发</w:t>
      </w:r>
      <w:r>
        <w:rPr>
          <w:rFonts w:hint="eastAsia"/>
          <w:color w:val="auto"/>
          <w:sz w:val="32"/>
          <w:szCs w:val="32"/>
        </w:rPr>
        <w:t>、技术</w:t>
      </w:r>
      <w:r>
        <w:rPr>
          <w:color w:val="auto"/>
          <w:sz w:val="32"/>
          <w:szCs w:val="32"/>
        </w:rPr>
        <w:t>服务</w:t>
      </w:r>
      <w:r>
        <w:rPr>
          <w:rFonts w:hint="eastAsia"/>
          <w:color w:val="auto"/>
          <w:sz w:val="32"/>
          <w:szCs w:val="32"/>
        </w:rPr>
        <w:t>等方面有一定的基础，在符合</w:t>
      </w:r>
      <w:r>
        <w:rPr>
          <w:rFonts w:hint="eastAsia"/>
          <w:color w:val="auto"/>
          <w:sz w:val="32"/>
          <w:szCs w:val="32"/>
          <w:lang w:val="en-US" w:eastAsia="zh-CN"/>
        </w:rPr>
        <w:t>国资监管规定且不违反同业竞争</w:t>
      </w:r>
      <w:r>
        <w:rPr>
          <w:rFonts w:hint="eastAsia"/>
          <w:color w:val="auto"/>
          <w:sz w:val="32"/>
          <w:szCs w:val="32"/>
        </w:rPr>
        <w:t>的前提下，可以结合双方主责主业开展包括但不限于股权投资、业务委托等合作，共同推动绿色制造、电力工程和能源技术服务</w:t>
      </w:r>
      <w:r>
        <w:rPr>
          <w:color w:val="auto"/>
          <w:sz w:val="32"/>
          <w:szCs w:val="32"/>
        </w:rPr>
        <w:t>。</w:t>
      </w:r>
    </w:p>
    <w:p>
      <w:pPr>
        <w:pStyle w:val="15"/>
        <w:ind w:firstLine="640" w:firstLineChars="200"/>
        <w:rPr>
          <w:rFonts w:hint="default" w:eastAsia="仿宋_GB2312"/>
          <w:color w:val="auto"/>
          <w:sz w:val="32"/>
          <w:szCs w:val="32"/>
          <w:lang w:val="en-US" w:eastAsia="zh-CN"/>
        </w:rPr>
      </w:pPr>
      <w:r>
        <w:rPr>
          <w:rFonts w:hint="eastAsia"/>
          <w:color w:val="auto"/>
          <w:sz w:val="32"/>
          <w:szCs w:val="32"/>
          <w:lang w:val="en-US" w:eastAsia="zh-CN"/>
        </w:rPr>
        <w:t>2、甲、乙双方</w:t>
      </w:r>
      <w:r>
        <w:rPr>
          <w:rFonts w:hint="eastAsia" w:hAnsi="仿宋_GB2312" w:cs="仿宋_GB2312"/>
          <w:color w:val="auto"/>
          <w:sz w:val="32"/>
          <w:szCs w:val="32"/>
          <w:lang w:val="en-US" w:eastAsia="zh-CN"/>
        </w:rPr>
        <w:t>相互</w:t>
      </w:r>
      <w:r>
        <w:rPr>
          <w:rFonts w:hint="eastAsia"/>
          <w:color w:val="auto"/>
          <w:sz w:val="32"/>
          <w:szCs w:val="32"/>
          <w:lang w:val="en-US" w:eastAsia="zh-CN"/>
        </w:rPr>
        <w:t>支持，双向赋能，</w:t>
      </w:r>
      <w:r>
        <w:rPr>
          <w:rFonts w:hint="eastAsia" w:ascii="仿宋_GB2312" w:hAnsi="仿宋_GB2312" w:eastAsia="仿宋_GB2312" w:cs="仿宋_GB2312"/>
          <w:color w:val="auto"/>
          <w:sz w:val="32"/>
          <w:szCs w:val="32"/>
          <w:lang w:val="en-US" w:eastAsia="zh-CN"/>
        </w:rPr>
        <w:t>共同推动杭州城市</w:t>
      </w:r>
      <w:r>
        <w:rPr>
          <w:rFonts w:hint="eastAsia" w:hAnsi="仿宋_GB2312" w:cs="仿宋_GB2312"/>
          <w:color w:val="auto"/>
          <w:sz w:val="32"/>
          <w:szCs w:val="32"/>
          <w:lang w:val="en-US" w:eastAsia="zh-CN"/>
        </w:rPr>
        <w:t>发展及</w:t>
      </w:r>
      <w:r>
        <w:rPr>
          <w:rFonts w:hint="eastAsia" w:ascii="仿宋_GB2312" w:hAnsi="仿宋_GB2312" w:eastAsia="仿宋_GB2312" w:cs="仿宋_GB2312"/>
          <w:color w:val="auto"/>
          <w:sz w:val="32"/>
          <w:szCs w:val="32"/>
          <w:lang w:val="en-US" w:eastAsia="zh-CN"/>
        </w:rPr>
        <w:t>项目建设过程中的燃气</w:t>
      </w:r>
      <w:r>
        <w:rPr>
          <w:rFonts w:hint="eastAsia" w:hAnsi="仿宋_GB2312" w:cs="仿宋_GB2312"/>
          <w:color w:val="auto"/>
          <w:sz w:val="32"/>
          <w:szCs w:val="32"/>
          <w:lang w:val="en-US" w:eastAsia="zh-CN"/>
        </w:rPr>
        <w:t>工程</w:t>
      </w:r>
      <w:r>
        <w:rPr>
          <w:rFonts w:hint="eastAsia" w:ascii="仿宋_GB2312" w:hAnsi="仿宋_GB2312" w:eastAsia="仿宋_GB2312" w:cs="仿宋_GB2312"/>
          <w:color w:val="auto"/>
          <w:sz w:val="32"/>
          <w:szCs w:val="32"/>
          <w:lang w:val="en-US" w:eastAsia="zh-CN"/>
        </w:rPr>
        <w:t>建设、燃气管道迁改等配套能源</w:t>
      </w:r>
      <w:r>
        <w:rPr>
          <w:rFonts w:hint="eastAsia" w:hAnsi="仿宋_GB2312" w:cs="仿宋_GB2312"/>
          <w:color w:val="auto"/>
          <w:sz w:val="32"/>
          <w:szCs w:val="32"/>
          <w:lang w:val="en-US" w:eastAsia="zh-CN"/>
        </w:rPr>
        <w:t>项目的实施</w:t>
      </w:r>
      <w:r>
        <w:rPr>
          <w:rFonts w:hint="eastAsia"/>
          <w:color w:val="auto"/>
          <w:sz w:val="32"/>
          <w:szCs w:val="32"/>
          <w:lang w:val="en-US" w:eastAsia="zh-CN"/>
        </w:rPr>
        <w:t>。</w:t>
      </w:r>
    </w:p>
    <w:p>
      <w:pPr>
        <w:spacing w:line="560" w:lineRule="exact"/>
        <w:ind w:firstLine="643" w:firstLineChars="200"/>
        <w:rPr>
          <w:rFonts w:eastAsia="楷体_GB2312"/>
          <w:b/>
          <w:bCs/>
          <w:color w:val="auto"/>
          <w:sz w:val="32"/>
          <w:szCs w:val="32"/>
        </w:rPr>
      </w:pPr>
      <w:r>
        <w:rPr>
          <w:rFonts w:hint="eastAsia" w:eastAsia="楷体_GB2312"/>
          <w:b/>
          <w:bCs/>
          <w:color w:val="auto"/>
          <w:sz w:val="32"/>
          <w:szCs w:val="32"/>
        </w:rPr>
        <w:t>（五）梳理双方业态</w:t>
      </w:r>
      <w:r>
        <w:rPr>
          <w:rFonts w:hint="eastAsia" w:eastAsia="楷体_GB2312"/>
          <w:b/>
          <w:bCs/>
          <w:color w:val="auto"/>
          <w:sz w:val="32"/>
          <w:szCs w:val="32"/>
          <w:lang w:val="en-US" w:eastAsia="zh-CN"/>
        </w:rPr>
        <w:t>和场景</w:t>
      </w:r>
      <w:r>
        <w:rPr>
          <w:rFonts w:hint="eastAsia" w:eastAsia="楷体_GB2312"/>
          <w:b/>
          <w:bCs/>
          <w:color w:val="auto"/>
          <w:sz w:val="32"/>
          <w:szCs w:val="32"/>
        </w:rPr>
        <w:t>优势，推动潜在项目落地</w:t>
      </w:r>
    </w:p>
    <w:p>
      <w:pPr>
        <w:spacing w:line="560" w:lineRule="exact"/>
        <w:ind w:firstLine="640" w:firstLineChars="200"/>
        <w:rPr>
          <w:rFonts w:eastAsia="仿宋_GB2312"/>
          <w:color w:val="auto"/>
          <w:sz w:val="32"/>
          <w:szCs w:val="32"/>
        </w:rPr>
      </w:pPr>
      <w:r>
        <w:rPr>
          <w:rFonts w:hint="eastAsia" w:eastAsia="仿宋_GB2312"/>
          <w:color w:val="auto"/>
          <w:sz w:val="32"/>
          <w:szCs w:val="32"/>
        </w:rPr>
        <w:t>1、</w:t>
      </w:r>
      <w:r>
        <w:rPr>
          <w:rFonts w:eastAsia="仿宋_GB2312"/>
          <w:color w:val="auto"/>
          <w:sz w:val="32"/>
          <w:szCs w:val="32"/>
        </w:rPr>
        <w:t>在车站及配套站房布置光伏阵列：利用车站及配套站房的屋顶和空地，安装光伏发电系统，可以提供清洁、可再生的电力。这将有助于减少碳排放，并降低对传统能源的依赖。</w:t>
      </w:r>
    </w:p>
    <w:p>
      <w:pPr>
        <w:spacing w:line="560" w:lineRule="exact"/>
        <w:ind w:firstLine="640" w:firstLineChars="200"/>
        <w:rPr>
          <w:rFonts w:eastAsia="仿宋_GB2312"/>
          <w:color w:val="auto"/>
          <w:sz w:val="32"/>
          <w:szCs w:val="32"/>
        </w:rPr>
      </w:pPr>
      <w:r>
        <w:rPr>
          <w:rFonts w:hint="eastAsia" w:eastAsia="仿宋_GB2312"/>
          <w:color w:val="auto"/>
          <w:sz w:val="32"/>
          <w:szCs w:val="32"/>
        </w:rPr>
        <w:t>2、</w:t>
      </w:r>
      <w:r>
        <w:rPr>
          <w:rFonts w:eastAsia="仿宋_GB2312"/>
          <w:color w:val="auto"/>
          <w:sz w:val="32"/>
          <w:szCs w:val="32"/>
        </w:rPr>
        <w:t>在停车场区域布置补能站：在停车场区域布置充电桩</w:t>
      </w:r>
      <w:r>
        <w:rPr>
          <w:rFonts w:hint="eastAsia" w:eastAsia="仿宋_GB2312"/>
          <w:color w:val="auto"/>
          <w:sz w:val="32"/>
          <w:szCs w:val="32"/>
        </w:rPr>
        <w:t>、</w:t>
      </w:r>
      <w:r>
        <w:rPr>
          <w:rFonts w:eastAsia="仿宋_GB2312"/>
          <w:color w:val="auto"/>
          <w:sz w:val="32"/>
          <w:szCs w:val="32"/>
        </w:rPr>
        <w:t>储能设备</w:t>
      </w:r>
      <w:r>
        <w:rPr>
          <w:rFonts w:hint="eastAsia" w:eastAsia="仿宋_GB2312"/>
          <w:color w:val="auto"/>
          <w:sz w:val="32"/>
          <w:szCs w:val="32"/>
        </w:rPr>
        <w:t>及换电站设施。</w:t>
      </w:r>
      <w:r>
        <w:rPr>
          <w:rFonts w:eastAsia="仿宋_GB2312"/>
          <w:color w:val="auto"/>
          <w:sz w:val="32"/>
          <w:szCs w:val="32"/>
        </w:rPr>
        <w:t>可以提供电动汽车和其他电动车辆的充电服务。这将有助于推动新能源汽车的发展，并减少交通领域的碳排放。</w:t>
      </w:r>
    </w:p>
    <w:p>
      <w:pPr>
        <w:spacing w:line="560" w:lineRule="exact"/>
        <w:ind w:firstLine="640" w:firstLineChars="200"/>
        <w:rPr>
          <w:rFonts w:eastAsia="仿宋_GB2312"/>
          <w:color w:val="auto"/>
          <w:sz w:val="32"/>
          <w:szCs w:val="32"/>
        </w:rPr>
      </w:pPr>
      <w:r>
        <w:rPr>
          <w:rFonts w:eastAsia="仿宋_GB2312"/>
          <w:color w:val="auto"/>
          <w:sz w:val="32"/>
          <w:szCs w:val="32"/>
        </w:rPr>
        <w:t>3</w:t>
      </w:r>
      <w:r>
        <w:rPr>
          <w:rFonts w:hint="eastAsia" w:eastAsia="仿宋_GB2312"/>
          <w:color w:val="auto"/>
          <w:sz w:val="32"/>
          <w:szCs w:val="32"/>
        </w:rPr>
        <w:t>、</w:t>
      </w:r>
      <w:r>
        <w:rPr>
          <w:rFonts w:eastAsia="仿宋_GB2312"/>
          <w:color w:val="auto"/>
          <w:sz w:val="32"/>
          <w:szCs w:val="32"/>
        </w:rPr>
        <w:t>在交通枢纽等区域布置综合能源项目：在交通枢纽等区域，除了光伏发电和充电桩外，还可以考虑</w:t>
      </w:r>
      <w:r>
        <w:rPr>
          <w:rFonts w:hint="eastAsia" w:eastAsia="仿宋_GB2312"/>
          <w:color w:val="auto"/>
          <w:sz w:val="32"/>
          <w:szCs w:val="32"/>
        </w:rPr>
        <w:t>集中供能</w:t>
      </w:r>
      <w:r>
        <w:rPr>
          <w:rFonts w:eastAsia="仿宋_GB2312"/>
          <w:color w:val="auto"/>
          <w:sz w:val="32"/>
          <w:szCs w:val="32"/>
        </w:rPr>
        <w:t>等项目。这些项目的综合应用将有助于提高能源利用效率，并进一步减少碳排放。</w:t>
      </w:r>
    </w:p>
    <w:p>
      <w:pPr>
        <w:spacing w:line="560" w:lineRule="exact"/>
        <w:ind w:firstLine="640" w:firstLineChars="200"/>
        <w:rPr>
          <w:rFonts w:eastAsia="仿宋_GB2312"/>
          <w:color w:val="auto"/>
          <w:sz w:val="32"/>
          <w:szCs w:val="32"/>
        </w:rPr>
      </w:pPr>
      <w:r>
        <w:rPr>
          <w:rFonts w:hint="eastAsia" w:eastAsia="仿宋_GB2312"/>
          <w:color w:val="auto"/>
          <w:sz w:val="32"/>
          <w:szCs w:val="32"/>
        </w:rPr>
        <w:t>4、</w:t>
      </w:r>
      <w:r>
        <w:rPr>
          <w:rFonts w:eastAsia="仿宋_GB2312"/>
          <w:color w:val="auto"/>
          <w:sz w:val="32"/>
          <w:szCs w:val="32"/>
        </w:rPr>
        <w:t>在交通枢纽配套TOD开展合同能源管理：通过合同能源管理的方式，与交通枢纽配套的TOD项目合作，为其提供能源解决方案。这可以通过能源审计、节能改造、能源监测等方式实现，帮助TOD项目降低能源成本，并实现节能减排的目标。</w:t>
      </w:r>
    </w:p>
    <w:p>
      <w:pPr>
        <w:spacing w:line="560" w:lineRule="exact"/>
        <w:ind w:firstLine="640" w:firstLineChars="200"/>
        <w:rPr>
          <w:rFonts w:eastAsia="黑体"/>
          <w:color w:val="auto"/>
          <w:sz w:val="32"/>
          <w:szCs w:val="32"/>
        </w:rPr>
      </w:pPr>
      <w:r>
        <w:rPr>
          <w:rFonts w:eastAsia="黑体"/>
          <w:color w:val="auto"/>
          <w:sz w:val="32"/>
          <w:szCs w:val="32"/>
        </w:rPr>
        <w:t>第五条 合作机制</w:t>
      </w:r>
    </w:p>
    <w:p>
      <w:pPr>
        <w:spacing w:line="560" w:lineRule="exact"/>
        <w:ind w:firstLine="640" w:firstLineChars="200"/>
        <w:rPr>
          <w:color w:val="auto"/>
        </w:rPr>
      </w:pPr>
      <w:r>
        <w:rPr>
          <w:rFonts w:eastAsia="仿宋_GB2312"/>
          <w:color w:val="auto"/>
          <w:sz w:val="32"/>
          <w:szCs w:val="32"/>
        </w:rPr>
        <w:t>（一）高层会商机制。</w:t>
      </w:r>
      <w:r>
        <w:rPr>
          <w:rFonts w:hint="eastAsia" w:eastAsia="仿宋_GB2312"/>
          <w:color w:val="auto"/>
          <w:sz w:val="32"/>
          <w:szCs w:val="32"/>
        </w:rPr>
        <w:t>甲、乙</w:t>
      </w:r>
      <w:r>
        <w:rPr>
          <w:rFonts w:eastAsia="仿宋_GB2312"/>
          <w:color w:val="auto"/>
          <w:sz w:val="32"/>
          <w:szCs w:val="32"/>
        </w:rPr>
        <w:t>双方高层领导建立长期的交流沟通机制，加深相互了解、增进互信、扩大合作，营造良好的合作氛围，不断扩大双方共同利益，挖掘合作潜力，分步推进合作升级。</w:t>
      </w:r>
    </w:p>
    <w:p>
      <w:pPr>
        <w:spacing w:line="560" w:lineRule="exact"/>
        <w:ind w:firstLine="640" w:firstLineChars="200"/>
        <w:rPr>
          <w:rFonts w:eastAsia="仿宋_GB2312"/>
          <w:color w:val="auto"/>
          <w:sz w:val="32"/>
          <w:szCs w:val="32"/>
        </w:rPr>
      </w:pPr>
      <w:r>
        <w:rPr>
          <w:rFonts w:eastAsia="仿宋_GB2312"/>
          <w:color w:val="auto"/>
          <w:sz w:val="32"/>
          <w:szCs w:val="32"/>
        </w:rPr>
        <w:t>（二）工作对接及日常联络机制。</w:t>
      </w:r>
      <w:r>
        <w:rPr>
          <w:rFonts w:hint="eastAsia" w:eastAsia="仿宋_GB2312"/>
          <w:color w:val="auto"/>
          <w:sz w:val="32"/>
          <w:szCs w:val="32"/>
        </w:rPr>
        <w:t>甲、乙双方</w:t>
      </w:r>
      <w:r>
        <w:rPr>
          <w:rFonts w:eastAsia="仿宋_GB2312"/>
          <w:color w:val="auto"/>
          <w:sz w:val="32"/>
          <w:szCs w:val="32"/>
        </w:rPr>
        <w:t>指定联系</w:t>
      </w:r>
      <w:r>
        <w:rPr>
          <w:rFonts w:hint="eastAsia" w:eastAsia="仿宋_GB2312"/>
          <w:color w:val="auto"/>
          <w:sz w:val="32"/>
          <w:szCs w:val="32"/>
        </w:rPr>
        <w:t>部门及联系</w:t>
      </w:r>
      <w:r>
        <w:rPr>
          <w:rFonts w:eastAsia="仿宋_GB2312"/>
          <w:color w:val="auto"/>
          <w:sz w:val="32"/>
          <w:szCs w:val="32"/>
        </w:rPr>
        <w:t>人进行工作、信息对接，明确</w:t>
      </w:r>
      <w:r>
        <w:rPr>
          <w:rFonts w:hint="eastAsia" w:eastAsia="仿宋_GB2312"/>
          <w:color w:val="auto"/>
          <w:sz w:val="32"/>
          <w:szCs w:val="32"/>
        </w:rPr>
        <w:t>甲方</w:t>
      </w:r>
      <w:r>
        <w:rPr>
          <w:rFonts w:eastAsia="仿宋_GB2312"/>
          <w:color w:val="auto"/>
          <w:sz w:val="32"/>
          <w:szCs w:val="32"/>
        </w:rPr>
        <w:t>市能源集团</w:t>
      </w:r>
      <w:r>
        <w:rPr>
          <w:rFonts w:hint="eastAsia" w:eastAsia="仿宋_GB2312"/>
          <w:color w:val="auto"/>
          <w:sz w:val="32"/>
          <w:szCs w:val="32"/>
        </w:rPr>
        <w:t>与乙方战略规划部（协同乙方各相关事业部）进行工作对接，具体协调双方合作过程需要统筹解决或需要提交甲、乙双方高层领导协调的事项，</w:t>
      </w:r>
      <w:r>
        <w:rPr>
          <w:rFonts w:eastAsia="仿宋_GB2312"/>
          <w:color w:val="auto"/>
          <w:sz w:val="32"/>
          <w:szCs w:val="32"/>
        </w:rPr>
        <w:t>及时解决问题、固化成果，</w:t>
      </w:r>
      <w:r>
        <w:rPr>
          <w:rFonts w:hint="eastAsia" w:eastAsia="仿宋_GB2312"/>
          <w:color w:val="auto"/>
          <w:sz w:val="32"/>
          <w:szCs w:val="32"/>
        </w:rPr>
        <w:t>推进</w:t>
      </w:r>
      <w:r>
        <w:rPr>
          <w:rFonts w:eastAsia="仿宋_GB2312"/>
          <w:color w:val="auto"/>
          <w:sz w:val="32"/>
          <w:szCs w:val="32"/>
        </w:rPr>
        <w:t>项目落地实施。</w:t>
      </w:r>
    </w:p>
    <w:p>
      <w:pPr>
        <w:pStyle w:val="16"/>
        <w:spacing w:line="560" w:lineRule="atLeast"/>
        <w:ind w:firstLine="640" w:firstLineChars="200"/>
        <w:jc w:val="both"/>
        <w:rPr>
          <w:rFonts w:eastAsia="仿宋_GB2312"/>
          <w:color w:val="auto"/>
          <w:kern w:val="2"/>
          <w:sz w:val="32"/>
          <w:szCs w:val="32"/>
        </w:rPr>
      </w:pPr>
      <w:r>
        <w:rPr>
          <w:rFonts w:eastAsia="仿宋_GB2312"/>
          <w:color w:val="auto"/>
          <w:kern w:val="2"/>
          <w:sz w:val="32"/>
          <w:szCs w:val="32"/>
        </w:rPr>
        <w:t>（三）</w:t>
      </w:r>
      <w:r>
        <w:rPr>
          <w:rFonts w:hint="eastAsia" w:eastAsia="仿宋_GB2312"/>
          <w:color w:val="auto"/>
          <w:kern w:val="2"/>
          <w:sz w:val="32"/>
          <w:szCs w:val="32"/>
        </w:rPr>
        <w:t>项目落地机制。甲方</w:t>
      </w:r>
      <w:r>
        <w:rPr>
          <w:rFonts w:eastAsia="仿宋_GB2312"/>
          <w:color w:val="auto"/>
          <w:kern w:val="2"/>
          <w:sz w:val="32"/>
          <w:szCs w:val="32"/>
        </w:rPr>
        <w:t>指定市能源集团</w:t>
      </w:r>
      <w:r>
        <w:rPr>
          <w:rFonts w:hint="eastAsia" w:eastAsia="仿宋_GB2312"/>
          <w:color w:val="auto"/>
          <w:sz w:val="32"/>
          <w:szCs w:val="32"/>
        </w:rPr>
        <w:t>下属</w:t>
      </w:r>
      <w:r>
        <w:rPr>
          <w:rFonts w:eastAsia="仿宋_GB2312"/>
          <w:color w:val="auto"/>
          <w:sz w:val="32"/>
          <w:szCs w:val="32"/>
        </w:rPr>
        <w:t>新</w:t>
      </w:r>
      <w:r>
        <w:rPr>
          <w:rFonts w:hint="eastAsia" w:eastAsia="仿宋_GB2312"/>
          <w:color w:val="auto"/>
          <w:sz w:val="32"/>
          <w:szCs w:val="32"/>
        </w:rPr>
        <w:t>能源</w:t>
      </w:r>
      <w:r>
        <w:rPr>
          <w:rFonts w:eastAsia="仿宋_GB2312"/>
          <w:color w:val="auto"/>
          <w:sz w:val="32"/>
          <w:szCs w:val="32"/>
        </w:rPr>
        <w:t>投发公司</w:t>
      </w:r>
      <w:r>
        <w:rPr>
          <w:rFonts w:eastAsia="仿宋_GB2312"/>
          <w:color w:val="auto"/>
          <w:kern w:val="2"/>
          <w:sz w:val="32"/>
          <w:szCs w:val="32"/>
        </w:rPr>
        <w:t>和</w:t>
      </w:r>
      <w:r>
        <w:rPr>
          <w:rFonts w:hint="eastAsia" w:eastAsia="仿宋_GB2312"/>
          <w:color w:val="auto"/>
          <w:kern w:val="2"/>
          <w:sz w:val="32"/>
          <w:szCs w:val="32"/>
        </w:rPr>
        <w:t>乙方</w:t>
      </w:r>
      <w:r>
        <w:rPr>
          <w:rFonts w:eastAsia="仿宋_GB2312"/>
          <w:color w:val="auto"/>
          <w:kern w:val="2"/>
          <w:sz w:val="32"/>
          <w:szCs w:val="32"/>
        </w:rPr>
        <w:t>下属各板块公司对接开展</w:t>
      </w:r>
      <w:r>
        <w:rPr>
          <w:rFonts w:hint="eastAsia" w:eastAsia="仿宋_GB2312"/>
          <w:color w:val="auto"/>
          <w:kern w:val="2"/>
          <w:sz w:val="32"/>
          <w:szCs w:val="32"/>
        </w:rPr>
        <w:t>项目</w:t>
      </w:r>
      <w:r>
        <w:rPr>
          <w:rFonts w:eastAsia="仿宋_GB2312"/>
          <w:color w:val="auto"/>
          <w:kern w:val="2"/>
          <w:sz w:val="32"/>
          <w:szCs w:val="32"/>
        </w:rPr>
        <w:t>投资前各项可行性研究，待成熟后在符合国资委相关规定的条件下按同股同权形式开展合作，共同推进</w:t>
      </w:r>
      <w:r>
        <w:rPr>
          <w:rFonts w:eastAsia="仿宋_GB2312"/>
          <w:color w:val="auto"/>
          <w:sz w:val="32"/>
          <w:szCs w:val="32"/>
        </w:rPr>
        <w:t>能源低碳绿色领域的发展，</w:t>
      </w:r>
      <w:r>
        <w:rPr>
          <w:rFonts w:eastAsia="仿宋_GB2312"/>
          <w:color w:val="auto"/>
          <w:kern w:val="2"/>
          <w:sz w:val="32"/>
          <w:szCs w:val="32"/>
        </w:rPr>
        <w:t>双方形成合力，加快杭州市综合能源建设。</w:t>
      </w:r>
    </w:p>
    <w:p>
      <w:pPr>
        <w:spacing w:line="560" w:lineRule="exact"/>
        <w:ind w:firstLine="640" w:firstLineChars="200"/>
        <w:rPr>
          <w:rFonts w:eastAsia="黑体"/>
          <w:color w:val="auto"/>
          <w:sz w:val="32"/>
          <w:szCs w:val="32"/>
        </w:rPr>
      </w:pPr>
      <w:r>
        <w:rPr>
          <w:rFonts w:eastAsia="黑体"/>
          <w:color w:val="auto"/>
          <w:sz w:val="32"/>
          <w:szCs w:val="32"/>
        </w:rPr>
        <w:t>第</w:t>
      </w:r>
      <w:r>
        <w:rPr>
          <w:rFonts w:hint="eastAsia" w:eastAsia="黑体"/>
          <w:color w:val="auto"/>
          <w:sz w:val="32"/>
          <w:szCs w:val="32"/>
        </w:rPr>
        <w:t>六</w:t>
      </w:r>
      <w:r>
        <w:rPr>
          <w:rFonts w:eastAsia="黑体"/>
          <w:color w:val="auto"/>
          <w:sz w:val="32"/>
          <w:szCs w:val="32"/>
        </w:rPr>
        <w:t>条 保密</w:t>
      </w:r>
    </w:p>
    <w:p>
      <w:pPr>
        <w:spacing w:line="560" w:lineRule="exact"/>
        <w:ind w:firstLine="640" w:firstLineChars="200"/>
        <w:rPr>
          <w:rFonts w:eastAsia="仿宋_GB2312"/>
          <w:color w:val="auto"/>
          <w:sz w:val="32"/>
          <w:szCs w:val="32"/>
        </w:rPr>
      </w:pPr>
      <w:r>
        <w:rPr>
          <w:rFonts w:hint="eastAsia" w:eastAsia="仿宋_GB2312"/>
          <w:color w:val="auto"/>
          <w:sz w:val="32"/>
          <w:szCs w:val="32"/>
        </w:rPr>
        <w:t>甲、乙</w:t>
      </w:r>
      <w:r>
        <w:rPr>
          <w:rFonts w:eastAsia="仿宋_GB2312"/>
          <w:color w:val="auto"/>
          <w:sz w:val="32"/>
          <w:szCs w:val="32"/>
        </w:rPr>
        <w:t>双方在工作接触中获得对方的技术资料、商业信息及其他资料均应采用适当的保管方式，未经对方事先同意，不得擅自使用和复制对方的资料，不得向第三方披露。</w:t>
      </w:r>
    </w:p>
    <w:p>
      <w:pPr>
        <w:spacing w:line="560" w:lineRule="exact"/>
        <w:ind w:firstLine="640" w:firstLineChars="200"/>
        <w:rPr>
          <w:rFonts w:eastAsia="黑体"/>
          <w:color w:val="auto"/>
          <w:sz w:val="32"/>
          <w:szCs w:val="32"/>
        </w:rPr>
      </w:pPr>
      <w:r>
        <w:rPr>
          <w:rFonts w:eastAsia="黑体"/>
          <w:color w:val="auto"/>
          <w:sz w:val="32"/>
          <w:szCs w:val="32"/>
        </w:rPr>
        <w:t>第</w:t>
      </w:r>
      <w:r>
        <w:rPr>
          <w:rFonts w:hint="eastAsia" w:eastAsia="黑体"/>
          <w:color w:val="auto"/>
          <w:sz w:val="32"/>
          <w:szCs w:val="32"/>
        </w:rPr>
        <w:t>七</w:t>
      </w:r>
      <w:r>
        <w:rPr>
          <w:rFonts w:eastAsia="黑体"/>
          <w:color w:val="auto"/>
          <w:sz w:val="32"/>
          <w:szCs w:val="32"/>
        </w:rPr>
        <w:t>条 其他事项</w:t>
      </w:r>
    </w:p>
    <w:p>
      <w:pPr>
        <w:spacing w:line="560" w:lineRule="exact"/>
        <w:ind w:firstLine="640" w:firstLineChars="200"/>
        <w:rPr>
          <w:rFonts w:eastAsia="仿宋_GB2312"/>
          <w:color w:val="auto"/>
          <w:sz w:val="32"/>
          <w:szCs w:val="32"/>
        </w:rPr>
      </w:pPr>
      <w:r>
        <w:rPr>
          <w:rFonts w:eastAsia="仿宋_GB2312"/>
          <w:color w:val="auto"/>
          <w:sz w:val="32"/>
          <w:szCs w:val="32"/>
        </w:rPr>
        <w:t>（一）本协议书是</w:t>
      </w:r>
      <w:r>
        <w:rPr>
          <w:rFonts w:hint="eastAsia" w:eastAsia="仿宋_GB2312"/>
          <w:color w:val="auto"/>
          <w:sz w:val="32"/>
          <w:szCs w:val="32"/>
        </w:rPr>
        <w:t>甲、乙</w:t>
      </w:r>
      <w:r>
        <w:rPr>
          <w:rFonts w:eastAsia="仿宋_GB2312"/>
          <w:color w:val="auto"/>
          <w:sz w:val="32"/>
          <w:szCs w:val="32"/>
        </w:rPr>
        <w:t>双方今后合作的基础和依据，</w:t>
      </w:r>
      <w:r>
        <w:rPr>
          <w:rFonts w:hint="eastAsia" w:ascii="仿宋_GB2312" w:hAnsi="仿宋_GB2312" w:eastAsia="仿宋_GB2312" w:cs="仿宋_GB2312"/>
          <w:color w:val="auto"/>
          <w:sz w:val="32"/>
          <w:szCs w:val="32"/>
        </w:rPr>
        <w:t>具体合作内容和实施方式待双方进一步协商确定</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相应的</w:t>
      </w:r>
      <w:r>
        <w:rPr>
          <w:rFonts w:hint="eastAsia" w:ascii="仿宋_GB2312" w:hAnsi="仿宋_GB2312" w:eastAsia="仿宋_GB2312" w:cs="仿宋_GB2312"/>
          <w:color w:val="auto"/>
          <w:sz w:val="32"/>
          <w:szCs w:val="32"/>
        </w:rPr>
        <w:t>权利义务关系根据未来双方签署的具体协议或者合同予以明确。双方将本着</w:t>
      </w:r>
      <w:r>
        <w:rPr>
          <w:rFonts w:eastAsia="仿宋_GB2312"/>
          <w:color w:val="auto"/>
          <w:sz w:val="32"/>
          <w:szCs w:val="32"/>
        </w:rPr>
        <w:t>诚实、守信的原则，承诺遵守本协议书各项条款。</w:t>
      </w:r>
    </w:p>
    <w:p>
      <w:pPr>
        <w:spacing w:line="560" w:lineRule="exact"/>
        <w:ind w:firstLine="640" w:firstLineChars="200"/>
        <w:rPr>
          <w:rFonts w:eastAsia="仿宋_GB2312"/>
          <w:color w:val="auto"/>
          <w:sz w:val="32"/>
          <w:szCs w:val="32"/>
        </w:rPr>
      </w:pPr>
      <w:r>
        <w:rPr>
          <w:rFonts w:eastAsia="仿宋_GB2312"/>
          <w:color w:val="auto"/>
          <w:sz w:val="32"/>
          <w:szCs w:val="32"/>
        </w:rPr>
        <w:t>（二）本协议书未尽事宜，</w:t>
      </w:r>
      <w:r>
        <w:rPr>
          <w:rFonts w:hint="eastAsia" w:eastAsia="仿宋_GB2312"/>
          <w:color w:val="auto"/>
          <w:sz w:val="32"/>
          <w:szCs w:val="32"/>
        </w:rPr>
        <w:t>甲、乙</w:t>
      </w:r>
      <w:r>
        <w:rPr>
          <w:rFonts w:eastAsia="仿宋_GB2312"/>
          <w:color w:val="auto"/>
          <w:sz w:val="32"/>
          <w:szCs w:val="32"/>
        </w:rPr>
        <w:t>双方友好协商，签订相应的补充协议、备忘录。</w:t>
      </w:r>
    </w:p>
    <w:p>
      <w:pPr>
        <w:spacing w:line="560" w:lineRule="exact"/>
        <w:ind w:firstLine="640" w:firstLineChars="200"/>
        <w:rPr>
          <w:rFonts w:eastAsia="仿宋_GB2312"/>
          <w:color w:val="auto"/>
          <w:sz w:val="32"/>
          <w:szCs w:val="32"/>
        </w:rPr>
      </w:pPr>
      <w:r>
        <w:rPr>
          <w:rFonts w:eastAsia="仿宋_GB2312"/>
          <w:color w:val="auto"/>
          <w:sz w:val="32"/>
          <w:szCs w:val="32"/>
        </w:rPr>
        <w:t>（三）本协议一式肆份，</w:t>
      </w:r>
      <w:r>
        <w:rPr>
          <w:rFonts w:hint="eastAsia" w:eastAsia="仿宋_GB2312"/>
          <w:color w:val="auto"/>
          <w:sz w:val="32"/>
          <w:szCs w:val="32"/>
        </w:rPr>
        <w:t>甲、乙</w:t>
      </w:r>
      <w:r>
        <w:rPr>
          <w:rFonts w:eastAsia="仿宋_GB2312"/>
          <w:color w:val="auto"/>
          <w:sz w:val="32"/>
          <w:szCs w:val="32"/>
        </w:rPr>
        <w:t>双方各执贰份，由双方代表签字并加盖公章后生效。</w:t>
      </w:r>
    </w:p>
    <w:p>
      <w:pPr>
        <w:widowControl/>
        <w:jc w:val="left"/>
        <w:rPr>
          <w:rFonts w:eastAsiaTheme="minorEastAsia"/>
          <w:b/>
          <w:bCs/>
          <w:color w:val="auto"/>
          <w:sz w:val="32"/>
          <w:szCs w:val="32"/>
        </w:rPr>
      </w:pPr>
    </w:p>
    <w:p>
      <w:pPr>
        <w:pStyle w:val="7"/>
        <w:spacing w:before="0" w:after="0" w:line="560" w:lineRule="exact"/>
        <w:jc w:val="both"/>
        <w:rPr>
          <w:rFonts w:ascii="Times New Roman" w:hAnsi="Times New Roman" w:cs="Times New Roman"/>
          <w:color w:val="auto"/>
        </w:rPr>
      </w:pPr>
    </w:p>
    <w:p>
      <w:pPr>
        <w:spacing w:line="560" w:lineRule="exact"/>
        <w:rPr>
          <w:rFonts w:eastAsia="仿宋_GB2312"/>
          <w:color w:val="auto"/>
          <w:sz w:val="32"/>
          <w:szCs w:val="32"/>
        </w:rPr>
      </w:pPr>
      <w:r>
        <w:rPr>
          <w:rFonts w:eastAsia="仿宋_GB2312"/>
          <w:color w:val="auto"/>
          <w:sz w:val="32"/>
          <w:szCs w:val="32"/>
        </w:rPr>
        <w:t>甲方：                        乙方：</w:t>
      </w:r>
    </w:p>
    <w:p>
      <w:pPr>
        <w:spacing w:line="560" w:lineRule="exact"/>
        <w:rPr>
          <w:rFonts w:eastAsia="仿宋_GB2312"/>
          <w:color w:val="auto"/>
          <w:sz w:val="32"/>
          <w:szCs w:val="32"/>
        </w:rPr>
      </w:pPr>
      <w:r>
        <w:rPr>
          <w:rFonts w:eastAsia="仿宋_GB2312"/>
          <w:color w:val="auto"/>
          <w:sz w:val="32"/>
          <w:szCs w:val="32"/>
        </w:rPr>
        <w:t xml:space="preserve">         （公章）                      （公章）</w:t>
      </w:r>
    </w:p>
    <w:p>
      <w:pPr>
        <w:spacing w:line="560" w:lineRule="exact"/>
        <w:rPr>
          <w:rFonts w:eastAsia="仿宋_GB2312"/>
          <w:color w:val="auto"/>
          <w:sz w:val="32"/>
          <w:szCs w:val="32"/>
        </w:rPr>
      </w:pPr>
    </w:p>
    <w:p>
      <w:pPr>
        <w:spacing w:line="560" w:lineRule="exact"/>
        <w:rPr>
          <w:rFonts w:eastAsia="仿宋_GB2312"/>
          <w:color w:val="auto"/>
          <w:sz w:val="32"/>
          <w:szCs w:val="32"/>
        </w:rPr>
      </w:pPr>
      <w:r>
        <w:rPr>
          <w:rFonts w:eastAsia="仿宋_GB2312"/>
          <w:color w:val="auto"/>
          <w:sz w:val="32"/>
          <w:szCs w:val="32"/>
        </w:rPr>
        <w:t>代表（签字）：                 代表（签字）：</w:t>
      </w:r>
    </w:p>
    <w:p>
      <w:pPr>
        <w:spacing w:line="560" w:lineRule="exact"/>
        <w:rPr>
          <w:color w:val="auto"/>
        </w:rPr>
      </w:pPr>
      <w:r>
        <w:rPr>
          <w:rFonts w:eastAsia="仿宋_GB2312"/>
          <w:color w:val="auto"/>
          <w:sz w:val="32"/>
          <w:szCs w:val="32"/>
        </w:rPr>
        <w:t xml:space="preserve">2023年 月 日                  </w:t>
      </w:r>
      <w:r>
        <w:rPr>
          <w:rFonts w:hint="eastAsia" w:eastAsia="仿宋_GB2312"/>
          <w:color w:val="auto"/>
          <w:sz w:val="32"/>
          <w:szCs w:val="32"/>
          <w:lang w:val="en-US" w:eastAsia="zh-CN"/>
        </w:rPr>
        <w:t xml:space="preserve"> </w:t>
      </w:r>
      <w:r>
        <w:rPr>
          <w:rFonts w:eastAsia="仿宋_GB2312"/>
          <w:color w:val="auto"/>
          <w:sz w:val="32"/>
          <w:szCs w:val="32"/>
        </w:rPr>
        <w:t>2023年 月 日</w:t>
      </w:r>
    </w:p>
    <w:sectPr>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panose1 w:val="02010609030101010101"/>
    <w:charset w:val="86"/>
    <w:family w:val="modern"/>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方正小标宋_GBK">
    <w:altName w:val="等线"/>
    <w:panose1 w:val="00000000000000000000"/>
    <w:charset w:val="86"/>
    <w:family w:val="auto"/>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miter/>
                      </a:ln>
                      <a:effectLst/>
                    </wps:spPr>
                    <wps:txbx>
                      <w:txbxContent>
                        <w:p>
                          <w:pPr>
                            <w:jc w:val="center"/>
                          </w:pPr>
                        </w:p>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zql5uc8AAAAFAQAADwAAAAAAAAABACAAAAAi&#10;AAAAZHJzL2Rvd25yZXYueG1sUEsBAhQAFAAAAAgAh07iQAFxqF/aAQAAugMAAA4AAAAAAAAAAQAg&#10;AAAAHgEAAGRycy9lMm9Eb2MueG1sUEsFBgAAAAAGAAYAWQEAAGoFAAAAAA==&#10;">
              <v:fill on="f" focussize="0,0"/>
              <v:stroke on="f" joinstyle="miter"/>
              <v:imagedata o:title=""/>
              <o:lock v:ext="edit" aspectratio="f"/>
              <v:textbox inset="0mm,0mm,0mm,0mm" style="mso-fit-shape-to-text:t;">
                <w:txbxContent>
                  <w:p>
                    <w:pPr>
                      <w:jc w:val="center"/>
                    </w:pPr>
                  </w:p>
                  <w:p/>
                </w:txbxContent>
              </v:textbox>
            </v:shape>
          </w:pict>
        </mc:Fallback>
      </mc:AlternateContent>
    </w:r>
  </w:p>
  <w:p>
    <w:pPr>
      <w:pStyle w:val="3"/>
      <w:kinsoku w:val="0"/>
      <w:overflowPunct w:val="0"/>
      <w:spacing w:line="14" w:lineRule="auto"/>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rPr>
                              <w:sz w:val="22"/>
                              <w:szCs w:val="22"/>
                            </w:rPr>
                          </w:pPr>
                          <w:r>
                            <w:rPr>
                              <w:sz w:val="22"/>
                              <w:szCs w:val="22"/>
                            </w:rPr>
                            <w:fldChar w:fldCharType="begin"/>
                          </w:r>
                          <w:r>
                            <w:rPr>
                              <w:sz w:val="22"/>
                              <w:szCs w:val="22"/>
                            </w:rPr>
                            <w:instrText xml:space="preserve"> PAGE  \* MERGEFORMAT </w:instrText>
                          </w:r>
                          <w:r>
                            <w:rPr>
                              <w:sz w:val="22"/>
                              <w:szCs w:val="22"/>
                            </w:rPr>
                            <w:fldChar w:fldCharType="separate"/>
                          </w:r>
                          <w:r>
                            <w:rPr>
                              <w:sz w:val="22"/>
                              <w:szCs w:val="22"/>
                            </w:rPr>
                            <w:t>1</w:t>
                          </w:r>
                          <w:r>
                            <w:rP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5"/>
                      <w:rPr>
                        <w:sz w:val="22"/>
                        <w:szCs w:val="22"/>
                      </w:rPr>
                    </w:pPr>
                    <w:r>
                      <w:rPr>
                        <w:sz w:val="22"/>
                        <w:szCs w:val="22"/>
                      </w:rPr>
                      <w:fldChar w:fldCharType="begin"/>
                    </w:r>
                    <w:r>
                      <w:rPr>
                        <w:sz w:val="22"/>
                        <w:szCs w:val="22"/>
                      </w:rPr>
                      <w:instrText xml:space="preserve"> PAGE  \* MERGEFORMAT </w:instrText>
                    </w:r>
                    <w:r>
                      <w:rPr>
                        <w:sz w:val="22"/>
                        <w:szCs w:val="22"/>
                      </w:rPr>
                      <w:fldChar w:fldCharType="separate"/>
                    </w:r>
                    <w:r>
                      <w:rPr>
                        <w:sz w:val="22"/>
                        <w:szCs w:val="22"/>
                      </w:rPr>
                      <w:t>1</w:t>
                    </w:r>
                    <w:r>
                      <w:rPr>
                        <w:sz w:val="22"/>
                        <w:szCs w:val="22"/>
                      </w:rPr>
                      <w:fldChar w:fldCharType="end"/>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miter/>
                      </a:ln>
                      <a:effectLst/>
                    </wps:spPr>
                    <wps:txbx>
                      <w:txbxContent>
                        <w:p>
                          <w:pPr>
                            <w:rPr>
                              <w:rFonts w:hint="eastAsia" w:ascii="仿宋_GB2312" w:hAnsi="仿宋_GB2312" w:eastAsia="仿宋_GB2312" w:cs="仿宋_GB2312"/>
                              <w:sz w:val="22"/>
                              <w:szCs w:val="28"/>
                            </w:rPr>
                          </w:pP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zql5uc8AAAAFAQAADwAAAAAAAAABACAAAAAi&#10;AAAAZHJzL2Rvd25yZXYueG1sUEsBAhQAFAAAAAgAh07iQPHE9YvaAQAAugMAAA4AAAAAAAAAAQAg&#10;AAAAHgEAAGRycy9lMm9Eb2MueG1sUEsFBgAAAAAGAAYAWQEAAGoFAAAAAA==&#10;">
              <v:fill on="f" focussize="0,0"/>
              <v:stroke on="f" joinstyle="miter"/>
              <v:imagedata o:title=""/>
              <o:lock v:ext="edit" aspectratio="f"/>
              <v:textbox inset="0mm,0mm,0mm,0mm" style="mso-fit-shape-to-text:t;">
                <w:txbxContent>
                  <w:p>
                    <w:pPr>
                      <w:rPr>
                        <w:rFonts w:hint="eastAsia" w:ascii="仿宋_GB2312" w:hAnsi="仿宋_GB2312" w:eastAsia="仿宋_GB2312" w:cs="仿宋_GB2312"/>
                        <w:sz w:val="22"/>
                        <w:szCs w:val="28"/>
                      </w:rPr>
                    </w:pPr>
                  </w:p>
                </w:txbxContent>
              </v:textbox>
            </v:shape>
          </w:pict>
        </mc:Fallback>
      </mc:AlternateContent>
    </w:r>
  </w:p>
  <w:p>
    <w:pPr>
      <w:pStyle w:val="3"/>
      <w:kinsoku w:val="0"/>
      <w:overflowPunct w:val="0"/>
      <w:spacing w:line="14" w:lineRule="auto"/>
      <w:rPr>
        <w:sz w:val="20"/>
        <w:szCs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QxZTVhOWZjZjBiODQ2Zjc2MjdkN2UwODcxZGY3N2QifQ=="/>
  </w:docVars>
  <w:rsids>
    <w:rsidRoot w:val="29673085"/>
    <w:rsid w:val="0004729A"/>
    <w:rsid w:val="00052915"/>
    <w:rsid w:val="0009409F"/>
    <w:rsid w:val="000E1DFD"/>
    <w:rsid w:val="00151A9D"/>
    <w:rsid w:val="00242DA5"/>
    <w:rsid w:val="00287B60"/>
    <w:rsid w:val="00395867"/>
    <w:rsid w:val="004C1E6E"/>
    <w:rsid w:val="00515E8A"/>
    <w:rsid w:val="00585187"/>
    <w:rsid w:val="00604B4A"/>
    <w:rsid w:val="00633A8E"/>
    <w:rsid w:val="00646168"/>
    <w:rsid w:val="006525E7"/>
    <w:rsid w:val="00670239"/>
    <w:rsid w:val="006963CC"/>
    <w:rsid w:val="00795512"/>
    <w:rsid w:val="008F1426"/>
    <w:rsid w:val="00902086"/>
    <w:rsid w:val="009062A7"/>
    <w:rsid w:val="00910DA6"/>
    <w:rsid w:val="009D15C0"/>
    <w:rsid w:val="00AD344E"/>
    <w:rsid w:val="00B6268A"/>
    <w:rsid w:val="00B62B49"/>
    <w:rsid w:val="00C4013C"/>
    <w:rsid w:val="00C42F5F"/>
    <w:rsid w:val="00C5546A"/>
    <w:rsid w:val="00C92FCD"/>
    <w:rsid w:val="00DC4EB9"/>
    <w:rsid w:val="00EA7765"/>
    <w:rsid w:val="00F74F0A"/>
    <w:rsid w:val="00FE789F"/>
    <w:rsid w:val="03276F2B"/>
    <w:rsid w:val="04F75026"/>
    <w:rsid w:val="066867E8"/>
    <w:rsid w:val="07AA45D1"/>
    <w:rsid w:val="09A82CCF"/>
    <w:rsid w:val="0F0C223F"/>
    <w:rsid w:val="0FCD5301"/>
    <w:rsid w:val="10DF7FD4"/>
    <w:rsid w:val="13C72589"/>
    <w:rsid w:val="17577BA6"/>
    <w:rsid w:val="17FE4510"/>
    <w:rsid w:val="18E8006E"/>
    <w:rsid w:val="1E675DCD"/>
    <w:rsid w:val="1EFC3B58"/>
    <w:rsid w:val="210A04D7"/>
    <w:rsid w:val="23BC3EB3"/>
    <w:rsid w:val="24E47918"/>
    <w:rsid w:val="25DD7E58"/>
    <w:rsid w:val="27127808"/>
    <w:rsid w:val="29673085"/>
    <w:rsid w:val="2A555ABC"/>
    <w:rsid w:val="2AD86EE4"/>
    <w:rsid w:val="3049057C"/>
    <w:rsid w:val="33C039FF"/>
    <w:rsid w:val="368F4605"/>
    <w:rsid w:val="36B34E94"/>
    <w:rsid w:val="38163796"/>
    <w:rsid w:val="38D96215"/>
    <w:rsid w:val="39D709A6"/>
    <w:rsid w:val="3BAB1B52"/>
    <w:rsid w:val="413F08D7"/>
    <w:rsid w:val="42E816D2"/>
    <w:rsid w:val="42F9198D"/>
    <w:rsid w:val="46162856"/>
    <w:rsid w:val="49A87C69"/>
    <w:rsid w:val="4A226B81"/>
    <w:rsid w:val="52F45CCD"/>
    <w:rsid w:val="5DF70C36"/>
    <w:rsid w:val="60D6264D"/>
    <w:rsid w:val="65F30067"/>
    <w:rsid w:val="6AB46016"/>
    <w:rsid w:val="6C844EB0"/>
    <w:rsid w:val="6E380D0C"/>
    <w:rsid w:val="6F327132"/>
    <w:rsid w:val="72322DB8"/>
    <w:rsid w:val="749D7B1B"/>
    <w:rsid w:val="76A47B7F"/>
    <w:rsid w:val="77560366"/>
    <w:rsid w:val="77737259"/>
    <w:rsid w:val="790B5D9C"/>
    <w:rsid w:val="7B3B7E8B"/>
    <w:rsid w:val="7B49696D"/>
    <w:rsid w:val="7CCC169D"/>
    <w:rsid w:val="7F6045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Normal Indent"/>
    <w:basedOn w:val="1"/>
    <w:next w:val="3"/>
    <w:qFormat/>
    <w:uiPriority w:val="0"/>
    <w:pPr>
      <w:adjustRightInd w:val="0"/>
      <w:spacing w:line="360" w:lineRule="atLeast"/>
      <w:ind w:firstLine="482"/>
      <w:textAlignment w:val="baseline"/>
    </w:pPr>
    <w:rPr>
      <w:rFonts w:ascii="Calibri" w:hAnsi="Calibri"/>
      <w:kern w:val="0"/>
      <w:sz w:val="24"/>
      <w:szCs w:val="20"/>
    </w:rPr>
  </w:style>
  <w:style w:type="paragraph" w:styleId="3">
    <w:name w:val="Body Text"/>
    <w:basedOn w:val="1"/>
    <w:next w:val="1"/>
    <w:qFormat/>
    <w:uiPriority w:val="0"/>
    <w:pPr>
      <w:spacing w:after="120"/>
    </w:pPr>
  </w:style>
  <w:style w:type="paragraph" w:styleId="4">
    <w:name w:val="annotation text"/>
    <w:basedOn w:val="1"/>
    <w:link w:val="17"/>
    <w:qFormat/>
    <w:uiPriority w:val="0"/>
    <w:pPr>
      <w:jc w:val="left"/>
    </w:pPr>
  </w:style>
  <w:style w:type="paragraph" w:styleId="5">
    <w:name w:val="footer"/>
    <w:basedOn w:val="1"/>
    <w:unhideWhenUsed/>
    <w:qFormat/>
    <w:uiPriority w:val="99"/>
    <w:pPr>
      <w:tabs>
        <w:tab w:val="center" w:pos="4153"/>
        <w:tab w:val="right" w:pos="8306"/>
      </w:tabs>
      <w:snapToGrid w:val="0"/>
      <w:jc w:val="left"/>
    </w:pPr>
    <w:rPr>
      <w:sz w:val="18"/>
      <w:szCs w:val="18"/>
    </w:rPr>
  </w:style>
  <w:style w:type="paragraph" w:styleId="6">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itle"/>
    <w:basedOn w:val="1"/>
    <w:next w:val="1"/>
    <w:qFormat/>
    <w:uiPriority w:val="10"/>
    <w:pPr>
      <w:spacing w:before="240" w:after="60"/>
      <w:jc w:val="center"/>
      <w:outlineLvl w:val="0"/>
    </w:pPr>
    <w:rPr>
      <w:rFonts w:ascii="Cambria" w:hAnsi="Cambria" w:eastAsiaTheme="minorEastAsia" w:cstheme="minorBidi"/>
      <w:b/>
      <w:bCs/>
      <w:sz w:val="32"/>
      <w:szCs w:val="32"/>
    </w:rPr>
  </w:style>
  <w:style w:type="paragraph" w:styleId="8">
    <w:name w:val="annotation subject"/>
    <w:basedOn w:val="4"/>
    <w:next w:val="4"/>
    <w:link w:val="18"/>
    <w:qFormat/>
    <w:uiPriority w:val="0"/>
    <w:rPr>
      <w:b/>
      <w:bCs/>
    </w:rPr>
  </w:style>
  <w:style w:type="table" w:styleId="10">
    <w:name w:val="Table Grid"/>
    <w:basedOn w:val="9"/>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Emphasis"/>
    <w:basedOn w:val="11"/>
    <w:qFormat/>
    <w:uiPriority w:val="0"/>
    <w:rPr>
      <w:i/>
    </w:rPr>
  </w:style>
  <w:style w:type="character" w:styleId="13">
    <w:name w:val="Hyperlink"/>
    <w:basedOn w:val="11"/>
    <w:qFormat/>
    <w:uiPriority w:val="0"/>
    <w:rPr>
      <w:color w:val="0000FF"/>
      <w:u w:val="single"/>
    </w:rPr>
  </w:style>
  <w:style w:type="character" w:styleId="14">
    <w:name w:val="annotation reference"/>
    <w:basedOn w:val="11"/>
    <w:qFormat/>
    <w:uiPriority w:val="0"/>
    <w:rPr>
      <w:sz w:val="21"/>
      <w:szCs w:val="21"/>
    </w:rPr>
  </w:style>
  <w:style w:type="paragraph" w:customStyle="1" w:styleId="15">
    <w:name w:val="Default"/>
    <w:qFormat/>
    <w:uiPriority w:val="0"/>
    <w:pPr>
      <w:widowControl w:val="0"/>
      <w:autoSpaceDE w:val="0"/>
      <w:autoSpaceDN w:val="0"/>
      <w:adjustRightInd w:val="0"/>
    </w:pPr>
    <w:rPr>
      <w:rFonts w:ascii="仿宋_GB2312" w:hAnsi="Calibri" w:eastAsia="仿宋_GB2312" w:cs="仿宋_GB2312"/>
      <w:color w:val="000000"/>
      <w:sz w:val="24"/>
      <w:szCs w:val="24"/>
      <w:lang w:val="en-US" w:eastAsia="zh-CN" w:bidi="ar-SA"/>
    </w:rPr>
  </w:style>
  <w:style w:type="paragraph" w:customStyle="1" w:styleId="16">
    <w:name w:val="缺省文本"/>
    <w:basedOn w:val="1"/>
    <w:qFormat/>
    <w:uiPriority w:val="0"/>
    <w:pPr>
      <w:autoSpaceDE w:val="0"/>
      <w:autoSpaceDN w:val="0"/>
      <w:adjustRightInd w:val="0"/>
      <w:jc w:val="left"/>
    </w:pPr>
    <w:rPr>
      <w:kern w:val="0"/>
      <w:sz w:val="24"/>
      <w:szCs w:val="20"/>
    </w:rPr>
  </w:style>
  <w:style w:type="character" w:customStyle="1" w:styleId="17">
    <w:name w:val="批注文字 字符"/>
    <w:basedOn w:val="11"/>
    <w:link w:val="4"/>
    <w:qFormat/>
    <w:uiPriority w:val="0"/>
    <w:rPr>
      <w:kern w:val="2"/>
      <w:sz w:val="21"/>
      <w:szCs w:val="24"/>
    </w:rPr>
  </w:style>
  <w:style w:type="character" w:customStyle="1" w:styleId="18">
    <w:name w:val="批注主题 字符"/>
    <w:basedOn w:val="17"/>
    <w:link w:val="8"/>
    <w:qFormat/>
    <w:uiPriority w:val="0"/>
    <w:rPr>
      <w:b/>
      <w:bCs/>
      <w:kern w:val="2"/>
      <w:sz w:val="21"/>
      <w:szCs w:val="24"/>
    </w:rPr>
  </w:style>
  <w:style w:type="paragraph" w:customStyle="1" w:styleId="19">
    <w:name w:val="修订1"/>
    <w:hidden/>
    <w:unhideWhenUsed/>
    <w:qFormat/>
    <w:uiPriority w:val="99"/>
    <w:rPr>
      <w:rFonts w:ascii="Times New Roman" w:hAnsi="Times New Roman" w:eastAsia="宋体" w:cs="Times New Roman"/>
      <w:kern w:val="2"/>
      <w:sz w:val="21"/>
      <w:szCs w:val="24"/>
      <w:lang w:val="en-US" w:eastAsia="zh-CN" w:bidi="ar-SA"/>
    </w:rPr>
  </w:style>
  <w:style w:type="paragraph" w:customStyle="1" w:styleId="20">
    <w:name w:val="修订2"/>
    <w:hidden/>
    <w:unhideWhenUsed/>
    <w:qFormat/>
    <w:uiPriority w:val="99"/>
    <w:rPr>
      <w:rFonts w:ascii="Times New Roman" w:hAnsi="Times New Roman" w:eastAsia="宋体" w:cs="Times New Roman"/>
      <w:kern w:val="2"/>
      <w:sz w:val="21"/>
      <w:szCs w:val="24"/>
      <w:lang w:val="en-US" w:eastAsia="zh-CN" w:bidi="ar-SA"/>
    </w:rPr>
  </w:style>
  <w:style w:type="paragraph" w:styleId="21">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微软公司</Company>
  <Pages>7</Pages>
  <Words>630</Words>
  <Characters>3595</Characters>
  <Lines>29</Lines>
  <Paragraphs>8</Paragraphs>
  <TotalTime>1</TotalTime>
  <ScaleCrop>false</ScaleCrop>
  <LinksUpToDate>false</LinksUpToDate>
  <CharactersWithSpaces>4217</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2023-11-20T10:59:00Z</dcterms:created>
  <dc:creator>seven</dc:creator>
  <cp:lastModifiedBy>周静柔</cp:lastModifiedBy>
  <cp:lastPrinted>2023-12-01T09:27:53Z</cp:lastPrinted>
  <dcterms:modified xsi:type="dcterms:W3CDTF">2023-12-01T09:33:31Z</dcterms:modified>
  <dc:title>                                                                                                                                                                                                                                                              </dc:title>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B7D8E1F46C444222B49EB3035D29006E_13</vt:lpwstr>
  </property>
</Properties>
</file>