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E34A6">
      <w:pPr>
        <w:keepNext w:val="0"/>
        <w:keepLines w:val="0"/>
        <w:pageBreakBefore w:val="0"/>
        <w:kinsoku/>
        <w:wordWrap/>
        <w:overflowPunct/>
        <w:topLinePunct w:val="0"/>
        <w:autoSpaceDE/>
        <w:autoSpaceDN/>
        <w:bidi w:val="0"/>
        <w:adjustRightInd/>
        <w:spacing w:line="560" w:lineRule="exact"/>
        <w:jc w:val="center"/>
        <w:textAlignment w:val="auto"/>
        <w:rPr>
          <w:rFonts w:hint="default" w:ascii="Times New Roman" w:hAnsi="Times New Roman" w:eastAsia="小标宋" w:cs="Times New Roman"/>
          <w:sz w:val="44"/>
          <w:szCs w:val="44"/>
          <w:highlight w:val="none"/>
          <w:lang w:val="en-US" w:eastAsia="zh-CN"/>
        </w:rPr>
      </w:pPr>
      <w:r>
        <w:rPr>
          <w:rFonts w:hint="eastAsia" w:ascii="小标宋" w:hAnsi="小标宋" w:eastAsia="小标宋" w:cs="小标宋"/>
          <w:sz w:val="44"/>
          <w:szCs w:val="44"/>
          <w:highlight w:val="none"/>
          <w:lang w:val="en-US" w:eastAsia="zh-CN"/>
        </w:rPr>
        <w:t>杭州交投科创中心做精做优实施</w:t>
      </w:r>
      <w:r>
        <w:rPr>
          <w:rFonts w:hint="default" w:ascii="Times New Roman" w:hAnsi="Times New Roman" w:eastAsia="小标宋" w:cs="Times New Roman"/>
          <w:sz w:val="44"/>
          <w:szCs w:val="44"/>
          <w:highlight w:val="none"/>
          <w:lang w:val="en-US" w:eastAsia="zh-CN"/>
        </w:rPr>
        <w:t>方案</w:t>
      </w:r>
    </w:p>
    <w:p w14:paraId="3A19905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楷体_GB2312" w:cs="Times New Roman"/>
          <w:sz w:val="32"/>
          <w:szCs w:val="32"/>
          <w:highlight w:val="none"/>
          <w:lang w:val="en-US" w:eastAsia="zh-CN"/>
        </w:rPr>
      </w:pPr>
      <w:r>
        <w:rPr>
          <w:rFonts w:hint="default" w:ascii="Times New Roman" w:hAnsi="Times New Roman" w:eastAsia="楷体_GB2312" w:cs="Times New Roman"/>
          <w:sz w:val="32"/>
          <w:szCs w:val="32"/>
          <w:highlight w:val="none"/>
          <w:lang w:val="en-US" w:eastAsia="zh-CN"/>
        </w:rPr>
        <w:t>（2026年7月</w:t>
      </w:r>
      <w:r>
        <w:rPr>
          <w:rFonts w:hint="eastAsia" w:ascii="Times New Roman" w:hAnsi="Times New Roman" w:eastAsia="楷体_GB2312" w:cs="Times New Roman"/>
          <w:sz w:val="32"/>
          <w:szCs w:val="32"/>
          <w:highlight w:val="none"/>
          <w:lang w:val="en-US" w:eastAsia="zh-CN"/>
        </w:rPr>
        <w:t>30</w:t>
      </w:r>
      <w:r>
        <w:rPr>
          <w:rFonts w:hint="default" w:ascii="Times New Roman" w:hAnsi="Times New Roman" w:eastAsia="楷体_GB2312" w:cs="Times New Roman"/>
          <w:sz w:val="32"/>
          <w:szCs w:val="32"/>
          <w:highlight w:val="none"/>
          <w:lang w:val="en-US" w:eastAsia="zh-CN"/>
        </w:rPr>
        <w:t>日）</w:t>
      </w:r>
    </w:p>
    <w:p w14:paraId="559C6528">
      <w:pPr>
        <w:rPr>
          <w:rFonts w:hint="eastAsia"/>
          <w:highlight w:val="none"/>
          <w:lang w:val="en-US" w:eastAsia="zh-CN"/>
        </w:rPr>
      </w:pPr>
    </w:p>
    <w:p w14:paraId="11DA334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一、发展基础</w:t>
      </w:r>
    </w:p>
    <w:p w14:paraId="2830378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（一）基本情况</w:t>
      </w:r>
    </w:p>
    <w:p w14:paraId="584FB3A7">
      <w:pPr>
        <w:keepNext w:val="0"/>
        <w:keepLines w:val="0"/>
        <w:pageBreakBefore w:val="0"/>
        <w:widowControl w:val="0"/>
        <w:kinsoku/>
        <w:wordWrap/>
        <w:overflowPunct/>
        <w:topLinePunct w:val="0"/>
        <w:autoSpaceDE/>
        <w:autoSpaceDN/>
        <w:bidi w:val="0"/>
        <w:adjustRightInd/>
        <w:snapToGrid w:val="0"/>
        <w:spacing w:line="560" w:lineRule="exact"/>
        <w:ind w:firstLine="640"/>
        <w:textAlignment w:val="auto"/>
        <w:rPr>
          <w:rFonts w:hint="eastAsia" w:ascii="Times New Roman" w:hAnsi="仿宋_GB2312" w:eastAsia="仿宋_GB2312" w:cs="仿宋_GB2312"/>
          <w:sz w:val="32"/>
          <w:szCs w:val="32"/>
          <w:highlight w:val="none"/>
          <w:lang w:val="en-US" w:eastAsia="zh-CN"/>
        </w:rPr>
      </w:pPr>
      <w:r>
        <w:rPr>
          <w:rFonts w:hint="eastAsia" w:ascii="仿宋_GB2312" w:eastAsia="仿宋_GB2312"/>
          <w:sz w:val="32"/>
          <w:szCs w:val="32"/>
          <w:highlight w:val="none"/>
          <w:lang w:val="en-US" w:eastAsia="zh-CN"/>
        </w:rPr>
        <w:t>杭州交投科创中心（以下简称“园区”）</w:t>
      </w:r>
      <w:r>
        <w:rPr>
          <w:rFonts w:hint="eastAsia" w:ascii="Times New Roman" w:hAnsi="仿宋_GB2312" w:eastAsia="仿宋_GB2312" w:cs="仿宋_GB2312"/>
          <w:sz w:val="32"/>
          <w:szCs w:val="32"/>
          <w:highlight w:val="none"/>
        </w:rPr>
        <w:t>位于杭州市高新区（滨江）物联网小镇，由三幢点式塔楼（A、B、C）、商业配套用房和地下二层停车库组成</w:t>
      </w:r>
      <w:r>
        <w:rPr>
          <w:rFonts w:hint="eastAsia" w:ascii="Times New Roman" w:hAnsi="仿宋_GB2312" w:eastAsia="仿宋_GB2312" w:cs="仿宋_GB2312"/>
          <w:sz w:val="32"/>
          <w:szCs w:val="32"/>
          <w:highlight w:val="none"/>
          <w:lang w:eastAsia="zh-CN"/>
        </w:rPr>
        <w:t>。</w:t>
      </w:r>
      <w:r>
        <w:rPr>
          <w:rFonts w:hint="eastAsia" w:ascii="Times New Roman" w:hAnsi="仿宋_GB2312" w:eastAsia="仿宋_GB2312" w:cs="仿宋_GB2312"/>
          <w:sz w:val="32"/>
          <w:szCs w:val="32"/>
          <w:highlight w:val="none"/>
          <w:lang w:val="en-US" w:eastAsia="zh-CN"/>
        </w:rPr>
        <w:t>项目</w:t>
      </w:r>
      <w:r>
        <w:rPr>
          <w:rFonts w:hint="eastAsia" w:ascii="Times New Roman" w:hAnsi="仿宋_GB2312" w:eastAsia="仿宋_GB2312" w:cs="仿宋_GB2312"/>
          <w:sz w:val="32"/>
          <w:szCs w:val="32"/>
          <w:highlight w:val="none"/>
          <w:lang w:eastAsia="zh-CN"/>
        </w:rPr>
        <w:t>总投资约4</w:t>
      </w:r>
      <w:r>
        <w:rPr>
          <w:rFonts w:hint="eastAsia" w:ascii="Times New Roman" w:hAnsi="仿宋_GB2312" w:eastAsia="仿宋_GB2312" w:cs="仿宋_GB2312"/>
          <w:sz w:val="32"/>
          <w:szCs w:val="32"/>
          <w:highlight w:val="none"/>
          <w:lang w:val="en-US" w:eastAsia="zh-CN"/>
        </w:rPr>
        <w:t>.6亿</w:t>
      </w:r>
      <w:r>
        <w:rPr>
          <w:rFonts w:hint="eastAsia" w:ascii="Times New Roman" w:hAnsi="仿宋_GB2312" w:eastAsia="仿宋_GB2312" w:cs="仿宋_GB2312"/>
          <w:sz w:val="32"/>
          <w:szCs w:val="32"/>
          <w:highlight w:val="none"/>
          <w:lang w:eastAsia="zh-CN"/>
        </w:rPr>
        <w:t>元，</w:t>
      </w:r>
      <w:r>
        <w:rPr>
          <w:rFonts w:hint="eastAsia" w:ascii="Times New Roman" w:hAnsi="仿宋_GB2312" w:eastAsia="仿宋_GB2312" w:cs="仿宋_GB2312"/>
          <w:sz w:val="32"/>
          <w:szCs w:val="32"/>
          <w:highlight w:val="none"/>
        </w:rPr>
        <w:t>占地面积30亩，总建筑面积8</w:t>
      </w:r>
      <w:r>
        <w:rPr>
          <w:rFonts w:hint="eastAsia" w:ascii="Times New Roman" w:hAnsi="仿宋_GB2312" w:eastAsia="仿宋_GB2312" w:cs="仿宋_GB2312"/>
          <w:sz w:val="32"/>
          <w:szCs w:val="32"/>
          <w:highlight w:val="none"/>
          <w:lang w:val="en-US" w:eastAsia="zh-CN"/>
        </w:rPr>
        <w:t>.</w:t>
      </w:r>
      <w:r>
        <w:rPr>
          <w:rFonts w:hint="eastAsia" w:ascii="Times New Roman" w:hAnsi="仿宋_GB2312" w:eastAsia="仿宋_GB2312" w:cs="仿宋_GB2312"/>
          <w:sz w:val="32"/>
          <w:szCs w:val="32"/>
          <w:highlight w:val="none"/>
        </w:rPr>
        <w:t>3</w:t>
      </w:r>
      <w:r>
        <w:rPr>
          <w:rFonts w:hint="eastAsia" w:ascii="Times New Roman" w:hAnsi="仿宋_GB2312" w:eastAsia="仿宋_GB2312" w:cs="仿宋_GB2312"/>
          <w:sz w:val="32"/>
          <w:szCs w:val="32"/>
          <w:highlight w:val="none"/>
          <w:lang w:val="en-US" w:eastAsia="zh-CN"/>
        </w:rPr>
        <w:t>万</w:t>
      </w:r>
      <w:r>
        <w:rPr>
          <w:rFonts w:hint="eastAsia" w:ascii="Times New Roman" w:hAnsi="仿宋_GB2312" w:eastAsia="仿宋_GB2312" w:cs="仿宋_GB2312"/>
          <w:sz w:val="32"/>
          <w:szCs w:val="32"/>
          <w:highlight w:val="none"/>
        </w:rPr>
        <w:t>㎡，其中地上建筑面积5</w:t>
      </w:r>
      <w:r>
        <w:rPr>
          <w:rFonts w:hint="eastAsia" w:ascii="Times New Roman" w:hAnsi="仿宋_GB2312" w:eastAsia="仿宋_GB2312" w:cs="仿宋_GB2312"/>
          <w:sz w:val="32"/>
          <w:szCs w:val="32"/>
          <w:highlight w:val="none"/>
          <w:lang w:val="en-US" w:eastAsia="zh-CN"/>
        </w:rPr>
        <w:t>.</w:t>
      </w:r>
      <w:r>
        <w:rPr>
          <w:rFonts w:hint="eastAsia" w:ascii="Times New Roman" w:hAnsi="仿宋_GB2312" w:eastAsia="仿宋_GB2312" w:cs="仿宋_GB2312"/>
          <w:sz w:val="32"/>
          <w:szCs w:val="32"/>
          <w:highlight w:val="none"/>
        </w:rPr>
        <w:t>4</w:t>
      </w:r>
      <w:r>
        <w:rPr>
          <w:rFonts w:hint="eastAsia" w:ascii="Times New Roman" w:hAnsi="仿宋_GB2312" w:eastAsia="仿宋_GB2312" w:cs="仿宋_GB2312"/>
          <w:sz w:val="32"/>
          <w:szCs w:val="32"/>
          <w:highlight w:val="none"/>
          <w:lang w:val="en-US" w:eastAsia="zh-CN"/>
        </w:rPr>
        <w:t>万</w:t>
      </w:r>
      <w:r>
        <w:rPr>
          <w:rFonts w:hint="eastAsia" w:ascii="Times New Roman" w:hAnsi="仿宋_GB2312" w:eastAsia="仿宋_GB2312" w:cs="仿宋_GB2312"/>
          <w:sz w:val="32"/>
          <w:szCs w:val="32"/>
          <w:highlight w:val="none"/>
        </w:rPr>
        <w:t>㎡，地下建筑面积</w:t>
      </w:r>
      <w:r>
        <w:rPr>
          <w:rFonts w:hint="eastAsia" w:ascii="Times New Roman" w:hAnsi="Times New Roman" w:eastAsia="仿宋_GB2312" w:cs="仿宋_GB2312"/>
          <w:sz w:val="32"/>
          <w:szCs w:val="32"/>
          <w:highlight w:val="none"/>
        </w:rPr>
        <w:t>2</w:t>
      </w:r>
      <w:r>
        <w:rPr>
          <w:rFonts w:hint="eastAsia" w:ascii="Times New Roman" w:hAnsi="Times New Roman" w:eastAsia="仿宋_GB2312" w:cs="仿宋_GB2312"/>
          <w:sz w:val="32"/>
          <w:szCs w:val="32"/>
          <w:highlight w:val="none"/>
          <w:lang w:val="en-US" w:eastAsia="zh-CN"/>
        </w:rPr>
        <w:t>.</w:t>
      </w:r>
      <w:r>
        <w:rPr>
          <w:rFonts w:hint="eastAsia" w:ascii="Times New Roman" w:hAnsi="Times New Roman" w:eastAsia="仿宋_GB2312" w:cs="仿宋_GB2312"/>
          <w:sz w:val="32"/>
          <w:szCs w:val="32"/>
          <w:highlight w:val="none"/>
        </w:rPr>
        <w:t>8</w:t>
      </w:r>
      <w:r>
        <w:rPr>
          <w:rFonts w:hint="eastAsia" w:ascii="Times New Roman" w:hAnsi="Times New Roman" w:eastAsia="仿宋_GB2312" w:cs="仿宋_GB2312"/>
          <w:sz w:val="32"/>
          <w:szCs w:val="32"/>
          <w:highlight w:val="none"/>
          <w:lang w:val="en-US" w:eastAsia="zh-CN"/>
        </w:rPr>
        <w:t>万</w:t>
      </w:r>
      <w:r>
        <w:rPr>
          <w:rFonts w:hint="eastAsia" w:ascii="Times New Roman" w:hAnsi="仿宋_GB2312" w:eastAsia="仿宋_GB2312" w:cs="仿宋_GB2312"/>
          <w:sz w:val="32"/>
          <w:szCs w:val="32"/>
          <w:highlight w:val="none"/>
        </w:rPr>
        <w:t>㎡</w:t>
      </w:r>
      <w:r>
        <w:rPr>
          <w:rFonts w:hint="eastAsia" w:ascii="Times New Roman" w:hAnsi="仿宋_GB2312" w:eastAsia="仿宋_GB2312" w:cs="仿宋_GB2312"/>
          <w:sz w:val="32"/>
          <w:szCs w:val="32"/>
          <w:highlight w:val="none"/>
          <w:lang w:eastAsia="zh-CN"/>
        </w:rPr>
        <w:t>，</w:t>
      </w:r>
      <w:r>
        <w:rPr>
          <w:rFonts w:hint="eastAsia" w:ascii="Times New Roman" w:hAnsi="仿宋_GB2312" w:eastAsia="仿宋_GB2312" w:cs="仿宋_GB2312"/>
          <w:sz w:val="32"/>
          <w:szCs w:val="32"/>
          <w:highlight w:val="none"/>
        </w:rPr>
        <w:t>办公区域面积约</w:t>
      </w:r>
      <w:r>
        <w:rPr>
          <w:rFonts w:hint="eastAsia" w:ascii="Times New Roman" w:hAnsi="仿宋_GB2312" w:eastAsia="仿宋_GB2312" w:cs="仿宋_GB2312"/>
          <w:sz w:val="32"/>
          <w:szCs w:val="32"/>
          <w:highlight w:val="none"/>
          <w:lang w:val="en-US" w:eastAsia="zh-CN"/>
        </w:rPr>
        <w:t>4.5万</w:t>
      </w:r>
      <w:r>
        <w:rPr>
          <w:rFonts w:hint="eastAsia" w:ascii="Times New Roman" w:hAnsi="仿宋_GB2312" w:eastAsia="仿宋_GB2312" w:cs="仿宋_GB2312"/>
          <w:sz w:val="32"/>
          <w:szCs w:val="32"/>
          <w:highlight w:val="none"/>
        </w:rPr>
        <w:t>㎡，商业配套面积约</w:t>
      </w:r>
      <w:r>
        <w:rPr>
          <w:rFonts w:hint="eastAsia" w:ascii="Times New Roman" w:hAnsi="仿宋_GB2312" w:eastAsia="仿宋_GB2312" w:cs="仿宋_GB2312"/>
          <w:sz w:val="32"/>
          <w:szCs w:val="32"/>
          <w:highlight w:val="none"/>
          <w:lang w:val="en-US" w:eastAsia="zh-CN"/>
        </w:rPr>
        <w:t>0.5万</w:t>
      </w:r>
      <w:r>
        <w:rPr>
          <w:rFonts w:hint="eastAsia" w:ascii="Times New Roman" w:hAnsi="仿宋_GB2312" w:eastAsia="仿宋_GB2312" w:cs="仿宋_GB2312"/>
          <w:sz w:val="32"/>
          <w:szCs w:val="32"/>
          <w:highlight w:val="none"/>
        </w:rPr>
        <w:t>㎡</w:t>
      </w:r>
      <w:r>
        <w:rPr>
          <w:rFonts w:hint="eastAsia" w:ascii="Times New Roman" w:hAnsi="仿宋_GB2312" w:eastAsia="仿宋_GB2312" w:cs="仿宋_GB2312"/>
          <w:sz w:val="32"/>
          <w:szCs w:val="32"/>
          <w:highlight w:val="none"/>
          <w:lang w:eastAsia="zh-CN"/>
        </w:rPr>
        <w:t>，</w:t>
      </w:r>
      <w:r>
        <w:rPr>
          <w:rFonts w:hint="eastAsia" w:ascii="Times New Roman" w:hAnsi="仿宋_GB2312" w:eastAsia="仿宋_GB2312" w:cs="仿宋_GB2312"/>
          <w:sz w:val="32"/>
          <w:szCs w:val="32"/>
          <w:highlight w:val="none"/>
        </w:rPr>
        <w:t>机动车停车位</w:t>
      </w:r>
      <w:r>
        <w:rPr>
          <w:rFonts w:hint="eastAsia" w:ascii="Times New Roman" w:hAnsi="Times New Roman" w:eastAsia="仿宋_GB2312" w:cs="仿宋_GB2312"/>
          <w:sz w:val="32"/>
          <w:szCs w:val="32"/>
          <w:highlight w:val="none"/>
        </w:rPr>
        <w:t>669</w:t>
      </w:r>
      <w:r>
        <w:rPr>
          <w:rFonts w:hint="eastAsia" w:ascii="Times New Roman" w:hAnsi="仿宋_GB2312" w:eastAsia="仿宋_GB2312" w:cs="仿宋_GB2312"/>
          <w:sz w:val="32"/>
          <w:szCs w:val="32"/>
          <w:highlight w:val="none"/>
        </w:rPr>
        <w:t>个</w:t>
      </w:r>
      <w:r>
        <w:rPr>
          <w:rFonts w:hint="eastAsia" w:ascii="Times New Roman" w:hAnsi="仿宋_GB2312" w:eastAsia="仿宋_GB2312" w:cs="仿宋_GB2312"/>
          <w:color w:val="auto"/>
          <w:sz w:val="32"/>
          <w:szCs w:val="32"/>
          <w:highlight w:val="none"/>
        </w:rPr>
        <w:t>。</w:t>
      </w:r>
    </w:p>
    <w:p w14:paraId="00C0BF8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（二）运营情况</w:t>
      </w:r>
    </w:p>
    <w:p w14:paraId="623DFAF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园区</w:t>
      </w:r>
      <w:r>
        <w:rPr>
          <w:rFonts w:hint="eastAsia" w:ascii="Times New Roman" w:hAnsi="Times New Roman" w:eastAsia="仿宋_GB2312" w:cs="Times New Roman"/>
          <w:color w:val="auto"/>
          <w:sz w:val="32"/>
          <w:szCs w:val="32"/>
          <w:highlight w:val="none"/>
          <w:lang w:val="en-US" w:eastAsia="zh-CN"/>
        </w:rPr>
        <w:t>于2020年10月</w:t>
      </w:r>
      <w:r>
        <w:rPr>
          <w:rFonts w:hint="eastAsia" w:ascii="仿宋_GB2312" w:hAnsi="仿宋_GB2312" w:eastAsia="仿宋_GB2312" w:cs="仿宋_GB2312"/>
          <w:sz w:val="32"/>
          <w:szCs w:val="32"/>
          <w:highlight w:val="none"/>
          <w:lang w:val="en-US" w:eastAsia="zh-CN"/>
        </w:rPr>
        <w:t>正式投入运营，建设期荣获“钱江杯”“西湖杯”等省市优质工程奖。通过多年深耕产业培育与党群服务双线建设，先后获评浙江省小微园区、市区两级科技企业孵化器，党群阵地获评全国职工书屋示范点、浙江省企业文化中心、杭州国资国企党群服务中心等，</w:t>
      </w:r>
      <w:r>
        <w:rPr>
          <w:rFonts w:hint="eastAsia" w:ascii="仿宋_GB2312" w:hAnsi="仿宋_GB2312" w:eastAsia="仿宋_GB2312" w:cs="仿宋_GB2312"/>
          <w:sz w:val="32"/>
          <w:szCs w:val="32"/>
          <w:highlight w:val="none"/>
        </w:rPr>
        <w:t>品牌荣誉基础扎实。</w:t>
      </w:r>
    </w:p>
    <w:p w14:paraId="13D394FF">
      <w:pPr>
        <w:keepNext w:val="0"/>
        <w:keepLines w:val="0"/>
        <w:pageBreakBefore w:val="0"/>
        <w:widowControl/>
        <w:kinsoku/>
        <w:wordWrap/>
        <w:overflowPunct/>
        <w:topLinePunct w:val="0"/>
        <w:autoSpaceDE/>
        <w:autoSpaceDN/>
        <w:bidi w:val="0"/>
        <w:adjustRightInd/>
        <w:snapToGrid/>
        <w:spacing w:line="560" w:lineRule="exact"/>
        <w:ind w:firstLine="640" w:firstLineChars="0"/>
        <w:jc w:val="both"/>
        <w:textAlignment w:val="auto"/>
        <w:rPr>
          <w:rFonts w:hint="default" w:ascii="Times New Roman" w:hAnsi="Times New Roman" w:eastAsia="仿宋_GB2312" w:cs="Times New Roman"/>
          <w:sz w:val="32"/>
          <w:szCs w:val="32"/>
          <w:highlight w:val="none"/>
          <w:lang w:val="en-US" w:eastAsia="zh-CN"/>
        </w:rPr>
      </w:pPr>
      <w:r>
        <w:rPr>
          <w:rFonts w:hint="eastAsia" w:ascii="仿宋_GB2312" w:hAnsi="仿宋_GB2312" w:eastAsia="仿宋_GB2312" w:cs="仿宋_GB2312"/>
          <w:sz w:val="32"/>
          <w:szCs w:val="32"/>
          <w:highlight w:val="none"/>
          <w:lang w:val="en-US" w:eastAsia="zh-CN"/>
        </w:rPr>
        <w:t>目前，园区</w:t>
      </w:r>
      <w:r>
        <w:rPr>
          <w:rFonts w:hint="default" w:ascii="Times New Roman" w:hAnsi="Times New Roman" w:eastAsia="仿宋_GB2312" w:cs="Times New Roman"/>
          <w:sz w:val="32"/>
          <w:szCs w:val="32"/>
          <w:highlight w:val="none"/>
          <w:lang w:val="en-US" w:eastAsia="zh-CN"/>
        </w:rPr>
        <w:t>入驻企业70余家、注册企业约180家</w:t>
      </w:r>
      <w:r>
        <w:rPr>
          <w:rFonts w:hint="eastAsia" w:ascii="Times New Roman" w:hAnsi="Times New Roman" w:eastAsia="仿宋_GB2312" w:cs="Times New Roman"/>
          <w:sz w:val="32"/>
          <w:szCs w:val="32"/>
          <w:highlight w:val="none"/>
          <w:lang w:val="en-US" w:eastAsia="zh-CN"/>
        </w:rPr>
        <w:t>，</w:t>
      </w:r>
      <w:r>
        <w:rPr>
          <w:rFonts w:hint="eastAsia" w:ascii="仿宋_GB2312" w:hAnsi="仿宋_GB2312" w:eastAsia="仿宋_GB2312" w:cs="仿宋_GB2312"/>
          <w:spacing w:val="0"/>
          <w:sz w:val="32"/>
          <w:szCs w:val="32"/>
          <w:highlight w:val="none"/>
          <w:lang w:val="en-US" w:eastAsia="zh-CN"/>
        </w:rPr>
        <w:t>集聚国</w:t>
      </w:r>
      <w:r>
        <w:rPr>
          <w:rFonts w:hint="default" w:ascii="Times New Roman" w:hAnsi="Times New Roman" w:eastAsia="仿宋_GB2312" w:cs="Times New Roman"/>
          <w:spacing w:val="0"/>
          <w:sz w:val="32"/>
          <w:szCs w:val="32"/>
          <w:highlight w:val="none"/>
          <w:lang w:val="en-US" w:eastAsia="zh-CN"/>
        </w:rPr>
        <w:t>家级高新技术企业14家、专精特新企业4家、科技型中小企业10家</w:t>
      </w:r>
      <w:r>
        <w:rPr>
          <w:rFonts w:hint="default" w:ascii="Times New Roman" w:hAnsi="Times New Roman" w:eastAsia="仿宋_GB2312" w:cs="Times New Roman"/>
          <w:sz w:val="32"/>
          <w:szCs w:val="32"/>
          <w:highlight w:val="none"/>
          <w:lang w:val="en-US" w:eastAsia="zh-CN"/>
        </w:rPr>
        <w:t>。</w:t>
      </w:r>
      <w:r>
        <w:rPr>
          <w:rFonts w:ascii="Times New Roman" w:hAnsi="Times New Roman" w:eastAsia="仿宋_GB2312" w:cs="Times New Roman"/>
          <w:sz w:val="32"/>
          <w:szCs w:val="32"/>
          <w:highlight w:val="none"/>
        </w:rPr>
        <w:t>园区</w:t>
      </w:r>
      <w:r>
        <w:rPr>
          <w:rFonts w:hint="eastAsia" w:ascii="Times New Roman" w:hAnsi="Times New Roman" w:eastAsia="仿宋_GB2312" w:cs="Times New Roman"/>
          <w:sz w:val="32"/>
          <w:szCs w:val="32"/>
          <w:highlight w:val="none"/>
          <w:lang w:val="en-US" w:eastAsia="zh-CN"/>
        </w:rPr>
        <w:t>入驻</w:t>
      </w:r>
      <w:r>
        <w:rPr>
          <w:rFonts w:ascii="Times New Roman" w:hAnsi="Times New Roman" w:eastAsia="仿宋_GB2312" w:cs="Times New Roman"/>
          <w:sz w:val="32"/>
          <w:szCs w:val="32"/>
          <w:highlight w:val="none"/>
        </w:rPr>
        <w:t>企业以通用科技类为主，涵盖医药、信息技术、电子器件、检测认证等多元领域</w:t>
      </w:r>
      <w:r>
        <w:rPr>
          <w:rFonts w:hint="eastAsia" w:ascii="Times New Roman" w:hAnsi="Times New Roman" w:eastAsia="仿宋_GB2312" w:cs="Times New Roman"/>
          <w:sz w:val="32"/>
          <w:szCs w:val="32"/>
          <w:highlight w:val="none"/>
          <w:lang w:eastAsia="zh-CN"/>
        </w:rPr>
        <w:t>，</w:t>
      </w:r>
      <w:r>
        <w:rPr>
          <w:rFonts w:hint="eastAsia" w:ascii="Times New Roman" w:hAnsi="Times New Roman" w:eastAsia="仿宋_GB2312" w:cs="Times New Roman"/>
          <w:sz w:val="32"/>
          <w:szCs w:val="32"/>
          <w:highlight w:val="none"/>
          <w:lang w:val="en-US" w:eastAsia="zh-CN"/>
        </w:rPr>
        <w:t>其中</w:t>
      </w:r>
      <w:r>
        <w:rPr>
          <w:rFonts w:ascii="Times New Roman" w:hAnsi="Times New Roman" w:eastAsia="仿宋_GB2312" w:cs="Times New Roman"/>
          <w:sz w:val="32"/>
          <w:szCs w:val="32"/>
          <w:highlight w:val="none"/>
        </w:rPr>
        <w:t>科技类企业45家（占比6</w:t>
      </w:r>
      <w:r>
        <w:rPr>
          <w:rFonts w:hint="eastAsia" w:ascii="Times New Roman" w:hAnsi="Times New Roman" w:eastAsia="仿宋_GB2312" w:cs="Times New Roman"/>
          <w:sz w:val="32"/>
          <w:szCs w:val="32"/>
          <w:highlight w:val="none"/>
          <w:lang w:val="en-US" w:eastAsia="zh-CN"/>
        </w:rPr>
        <w:t>0</w:t>
      </w:r>
      <w:r>
        <w:rPr>
          <w:rFonts w:ascii="Times New Roman" w:hAnsi="Times New Roman" w:eastAsia="仿宋_GB2312" w:cs="Times New Roman"/>
          <w:sz w:val="32"/>
          <w:szCs w:val="32"/>
          <w:highlight w:val="none"/>
        </w:rPr>
        <w:t>%）、服务类企业10家（占比13.</w:t>
      </w:r>
      <w:r>
        <w:rPr>
          <w:rFonts w:hint="eastAsia" w:ascii="Times New Roman" w:hAnsi="Times New Roman" w:eastAsia="仿宋_GB2312" w:cs="Times New Roman"/>
          <w:sz w:val="32"/>
          <w:szCs w:val="32"/>
          <w:highlight w:val="none"/>
          <w:lang w:val="en-US" w:eastAsia="zh-CN"/>
        </w:rPr>
        <w:t>3</w:t>
      </w:r>
      <w:r>
        <w:rPr>
          <w:rFonts w:ascii="Times New Roman" w:hAnsi="Times New Roman" w:eastAsia="仿宋_GB2312" w:cs="Times New Roman"/>
          <w:sz w:val="32"/>
          <w:szCs w:val="32"/>
          <w:highlight w:val="none"/>
        </w:rPr>
        <w:t>%）、基建类企业7家（占比9.</w:t>
      </w:r>
      <w:r>
        <w:rPr>
          <w:rFonts w:hint="eastAsia" w:ascii="Times New Roman" w:hAnsi="Times New Roman" w:eastAsia="仿宋_GB2312" w:cs="Times New Roman"/>
          <w:sz w:val="32"/>
          <w:szCs w:val="32"/>
          <w:highlight w:val="none"/>
          <w:lang w:val="en-US" w:eastAsia="zh-CN"/>
        </w:rPr>
        <w:t>3</w:t>
      </w:r>
      <w:r>
        <w:rPr>
          <w:rFonts w:ascii="Times New Roman" w:hAnsi="Times New Roman" w:eastAsia="仿宋_GB2312" w:cs="Times New Roman"/>
          <w:sz w:val="32"/>
          <w:szCs w:val="32"/>
          <w:highlight w:val="none"/>
        </w:rPr>
        <w:t>%）、</w:t>
      </w:r>
      <w:r>
        <w:rPr>
          <w:rFonts w:hint="eastAsia" w:ascii="Times New Roman" w:hAnsi="Times New Roman" w:eastAsia="仿宋_GB2312" w:cs="Times New Roman"/>
          <w:sz w:val="32"/>
          <w:szCs w:val="32"/>
          <w:highlight w:val="none"/>
          <w:lang w:val="en-US" w:eastAsia="zh-CN"/>
        </w:rPr>
        <w:t>其他企业13家</w:t>
      </w:r>
      <w:r>
        <w:rPr>
          <w:rFonts w:ascii="Times New Roman" w:hAnsi="Times New Roman" w:eastAsia="仿宋_GB2312" w:cs="Times New Roman"/>
          <w:sz w:val="32"/>
          <w:szCs w:val="32"/>
          <w:highlight w:val="none"/>
        </w:rPr>
        <w:t>（占比</w:t>
      </w:r>
      <w:r>
        <w:rPr>
          <w:rFonts w:hint="eastAsia" w:ascii="Times New Roman" w:hAnsi="Times New Roman" w:eastAsia="仿宋_GB2312" w:cs="Times New Roman"/>
          <w:sz w:val="32"/>
          <w:szCs w:val="32"/>
          <w:highlight w:val="none"/>
          <w:lang w:val="en-US" w:eastAsia="zh-CN"/>
        </w:rPr>
        <w:t>17.3</w:t>
      </w:r>
      <w:r>
        <w:rPr>
          <w:rFonts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lang w:val="en-US" w:eastAsia="zh-CN"/>
        </w:rPr>
        <w:t>截至2026年6月，园区</w:t>
      </w:r>
      <w:r>
        <w:rPr>
          <w:rFonts w:hint="eastAsia" w:ascii="Times New Roman" w:hAnsi="Times New Roman" w:eastAsia="仿宋_GB2312" w:cs="Times New Roman"/>
          <w:sz w:val="32"/>
          <w:szCs w:val="32"/>
          <w:highlight w:val="none"/>
          <w:lang w:val="en-US" w:eastAsia="zh-CN"/>
        </w:rPr>
        <w:t>整体</w:t>
      </w:r>
      <w:r>
        <w:rPr>
          <w:rFonts w:hint="default" w:ascii="Times New Roman" w:hAnsi="Times New Roman" w:eastAsia="仿宋_GB2312" w:cs="Times New Roman"/>
          <w:sz w:val="32"/>
          <w:szCs w:val="32"/>
          <w:highlight w:val="none"/>
          <w:lang w:val="en-US" w:eastAsia="zh-CN"/>
        </w:rPr>
        <w:t>出租率91.18%</w:t>
      </w:r>
      <w:r>
        <w:rPr>
          <w:rFonts w:hint="eastAsia" w:ascii="Times New Roman" w:hAnsi="Times New Roman" w:eastAsia="仿宋_GB2312" w:cs="Times New Roman"/>
          <w:sz w:val="32"/>
          <w:szCs w:val="32"/>
          <w:highlight w:val="none"/>
          <w:lang w:val="en-US" w:eastAsia="zh-CN"/>
        </w:rPr>
        <w:t>，运营主体</w:t>
      </w:r>
      <w:r>
        <w:rPr>
          <w:rFonts w:hint="default" w:ascii="Times New Roman" w:hAnsi="Times New Roman" w:eastAsia="仿宋_GB2312" w:cs="Times New Roman"/>
          <w:sz w:val="32"/>
          <w:szCs w:val="32"/>
          <w:highlight w:val="none"/>
          <w:lang w:val="en-US" w:eastAsia="zh-CN"/>
        </w:rPr>
        <w:t>杭州交投智慧交通产业发展有限公司</w:t>
      </w:r>
      <w:r>
        <w:rPr>
          <w:rFonts w:hint="eastAsia" w:ascii="Times New Roman" w:hAnsi="Times New Roman" w:eastAsia="仿宋_GB2312" w:cs="Times New Roman"/>
          <w:sz w:val="32"/>
          <w:szCs w:val="32"/>
          <w:highlight w:val="none"/>
          <w:lang w:val="en-US" w:eastAsia="zh-CN"/>
        </w:rPr>
        <w:t>（以下简称“交投智慧公司”）实现</w:t>
      </w:r>
      <w:r>
        <w:rPr>
          <w:rFonts w:hint="default" w:ascii="Times New Roman" w:hAnsi="Times New Roman" w:eastAsia="仿宋_GB2312" w:cs="Times New Roman"/>
          <w:sz w:val="32"/>
          <w:szCs w:val="32"/>
          <w:highlight w:val="none"/>
          <w:lang w:val="en-US" w:eastAsia="zh-CN"/>
        </w:rPr>
        <w:t>总营收2</w:t>
      </w:r>
      <w:r>
        <w:rPr>
          <w:rFonts w:hint="eastAsia" w:ascii="Times New Roman" w:hAnsi="Times New Roman" w:eastAsia="仿宋_GB2312" w:cs="Times New Roman"/>
          <w:sz w:val="32"/>
          <w:szCs w:val="32"/>
          <w:highlight w:val="none"/>
          <w:lang w:val="en-US" w:eastAsia="zh-CN"/>
        </w:rPr>
        <w:t>,</w:t>
      </w:r>
      <w:r>
        <w:rPr>
          <w:rFonts w:hint="default" w:ascii="Times New Roman" w:hAnsi="Times New Roman" w:eastAsia="仿宋_GB2312" w:cs="Times New Roman"/>
          <w:sz w:val="32"/>
          <w:szCs w:val="32"/>
          <w:highlight w:val="none"/>
          <w:lang w:val="en-US" w:eastAsia="zh-CN"/>
        </w:rPr>
        <w:t>3</w:t>
      </w:r>
      <w:r>
        <w:rPr>
          <w:rFonts w:hint="eastAsia" w:ascii="Times New Roman" w:hAnsi="Times New Roman" w:eastAsia="仿宋_GB2312" w:cs="Times New Roman"/>
          <w:sz w:val="32"/>
          <w:szCs w:val="32"/>
          <w:highlight w:val="none"/>
          <w:lang w:val="en-US" w:eastAsia="zh-CN"/>
        </w:rPr>
        <w:t>74</w:t>
      </w:r>
      <w:r>
        <w:rPr>
          <w:rFonts w:hint="default" w:ascii="Times New Roman" w:hAnsi="Times New Roman" w:eastAsia="仿宋_GB2312" w:cs="Times New Roman"/>
          <w:sz w:val="32"/>
          <w:szCs w:val="32"/>
          <w:highlight w:val="none"/>
          <w:lang w:val="en-US" w:eastAsia="zh-CN"/>
        </w:rPr>
        <w:t>万元，</w:t>
      </w:r>
      <w:r>
        <w:rPr>
          <w:rFonts w:hint="default" w:ascii="Times New Roman" w:hAnsi="Times New Roman" w:eastAsia="仿宋_GB2312" w:cs="Times New Roman"/>
          <w:b w:val="0"/>
          <w:bCs/>
          <w:color w:val="auto"/>
          <w:sz w:val="32"/>
          <w:highlight w:val="none"/>
        </w:rPr>
        <w:t>净利润</w:t>
      </w:r>
      <w:r>
        <w:rPr>
          <w:rFonts w:hint="default" w:ascii="Times New Roman" w:hAnsi="Times New Roman" w:eastAsia="仿宋_GB2312" w:cs="Times New Roman"/>
          <w:b w:val="0"/>
          <w:bCs/>
          <w:color w:val="auto"/>
          <w:sz w:val="32"/>
          <w:highlight w:val="none"/>
          <w:lang w:val="en-US" w:eastAsia="zh-CN"/>
        </w:rPr>
        <w:t>400</w:t>
      </w:r>
      <w:r>
        <w:rPr>
          <w:rFonts w:hint="default" w:ascii="Times New Roman" w:hAnsi="Times New Roman" w:eastAsia="仿宋_GB2312" w:cs="Times New Roman"/>
          <w:b w:val="0"/>
          <w:bCs/>
          <w:color w:val="auto"/>
          <w:sz w:val="32"/>
          <w:highlight w:val="none"/>
        </w:rPr>
        <w:t>万</w:t>
      </w:r>
      <w:r>
        <w:rPr>
          <w:rFonts w:hint="default" w:ascii="Times New Roman" w:hAnsi="Times New Roman" w:eastAsia="仿宋_GB2312" w:cs="Times New Roman"/>
          <w:b w:val="0"/>
          <w:bCs/>
          <w:sz w:val="32"/>
          <w:highlight w:val="none"/>
        </w:rPr>
        <w:t>元</w:t>
      </w:r>
      <w:r>
        <w:rPr>
          <w:rFonts w:hint="eastAsia" w:ascii="Times New Roman" w:hAnsi="Times New Roman" w:eastAsia="仿宋_GB2312" w:cs="Times New Roman"/>
          <w:b w:val="0"/>
          <w:bCs/>
          <w:sz w:val="32"/>
          <w:highlight w:val="none"/>
          <w:lang w:eastAsia="zh-CN"/>
        </w:rPr>
        <w:t>。</w:t>
      </w:r>
    </w:p>
    <w:p w14:paraId="791F6D7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仿宋_GB2312" w:eastAsia="仿宋_GB2312" w:cs="仿宋_GB2312"/>
          <w:color w:val="auto"/>
          <w:sz w:val="32"/>
          <w:szCs w:val="32"/>
          <w:highlight w:val="none"/>
        </w:rPr>
      </w:pPr>
      <w:r>
        <w:rPr>
          <w:rFonts w:hint="eastAsia" w:ascii="黑体" w:hAnsi="黑体" w:eastAsia="黑体" w:cs="黑体"/>
          <w:sz w:val="32"/>
          <w:szCs w:val="32"/>
          <w:highlight w:val="none"/>
          <w:lang w:val="en-US" w:eastAsia="zh-CN"/>
        </w:rPr>
        <w:t>二、总体目标</w:t>
      </w:r>
    </w:p>
    <w:p w14:paraId="475A806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楷体_GB2312" w:hAnsi="楷体_GB2312" w:eastAsia="楷体_GB2312" w:cs="楷体_GB2312"/>
          <w:b/>
          <w:bCs/>
          <w:sz w:val="32"/>
          <w:szCs w:val="32"/>
          <w:highlight w:val="none"/>
          <w:lang w:val="en-US" w:eastAsia="zh-CN"/>
        </w:rPr>
      </w:pPr>
      <w:r>
        <w:rPr>
          <w:rFonts w:hint="default" w:ascii="Times New Roman" w:hAnsi="Times New Roman" w:eastAsia="仿宋_GB2312" w:cs="Times New Roman"/>
          <w:sz w:val="32"/>
          <w:szCs w:val="32"/>
          <w:highlight w:val="none"/>
          <w:lang w:eastAsia="zh-CN"/>
        </w:rPr>
        <w:t>以</w:t>
      </w:r>
      <w:r>
        <w:rPr>
          <w:rFonts w:hint="eastAsia" w:ascii="仿宋_GB2312" w:hAnsi="仿宋_GB2312" w:eastAsia="仿宋_GB2312" w:cs="仿宋_GB2312"/>
          <w:sz w:val="32"/>
          <w:szCs w:val="32"/>
          <w:highlight w:val="none"/>
          <w:lang w:eastAsia="zh-CN"/>
        </w:rPr>
        <w:t>“链上红盟·三联共进”</w:t>
      </w:r>
      <w:r>
        <w:rPr>
          <w:rFonts w:hint="default" w:ascii="Times New Roman" w:hAnsi="Times New Roman" w:eastAsia="仿宋_GB2312" w:cs="Times New Roman"/>
          <w:sz w:val="32"/>
          <w:szCs w:val="32"/>
          <w:highlight w:val="none"/>
          <w:lang w:eastAsia="zh-CN"/>
        </w:rPr>
        <w:t>党建联建项目为抓手，</w:t>
      </w:r>
      <w:r>
        <w:rPr>
          <w:rFonts w:hint="eastAsia" w:ascii="Times New Roman" w:hAnsi="Times New Roman" w:eastAsia="仿宋_GB2312" w:cs="Times New Roman"/>
          <w:sz w:val="32"/>
          <w:szCs w:val="32"/>
          <w:highlight w:val="none"/>
          <w:lang w:val="en-US" w:eastAsia="zh-CN"/>
        </w:rPr>
        <w:t>深度对接大交通上下游产业链资源，主动融入滨江区科技创新产业生态，</w:t>
      </w:r>
      <w:r>
        <w:rPr>
          <w:rFonts w:hint="default" w:ascii="Times New Roman" w:hAnsi="Times New Roman" w:eastAsia="仿宋_GB2312" w:cs="Times New Roman"/>
          <w:sz w:val="32"/>
          <w:szCs w:val="32"/>
          <w:highlight w:val="none"/>
          <w:lang w:eastAsia="zh-CN"/>
        </w:rPr>
        <w:t>紧扣服务提质、科技赋能、品牌建设三大主线，补短板、优结构、树标杆，推动园区运营能级与品牌影响力同步跃升，着力打造展现国企担当、汇聚发展动能的</w:t>
      </w:r>
      <w:r>
        <w:rPr>
          <w:rFonts w:hint="eastAsia" w:ascii="Times New Roman" w:hAnsi="Times New Roman" w:eastAsia="仿宋_GB2312" w:cs="Times New Roman"/>
          <w:sz w:val="32"/>
          <w:szCs w:val="32"/>
          <w:highlight w:val="none"/>
          <w:lang w:eastAsia="zh-CN"/>
        </w:rPr>
        <w:t>“</w:t>
      </w:r>
      <w:r>
        <w:rPr>
          <w:rFonts w:hint="eastAsia" w:ascii="Times New Roman" w:hAnsi="Times New Roman" w:eastAsia="仿宋_GB2312" w:cs="Times New Roman"/>
          <w:sz w:val="32"/>
          <w:szCs w:val="32"/>
          <w:highlight w:val="none"/>
          <w:lang w:val="en-US" w:eastAsia="zh-CN"/>
        </w:rPr>
        <w:t>交投</w:t>
      </w:r>
      <w:r>
        <w:rPr>
          <w:rFonts w:hint="default" w:ascii="Times New Roman" w:hAnsi="Times New Roman" w:eastAsia="仿宋_GB2312" w:cs="Times New Roman"/>
          <w:sz w:val="32"/>
          <w:szCs w:val="32"/>
          <w:highlight w:val="none"/>
          <w:lang w:eastAsia="zh-CN"/>
        </w:rPr>
        <w:t>会客厅</w:t>
      </w:r>
      <w:r>
        <w:rPr>
          <w:rFonts w:hint="eastAsia"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lang w:eastAsia="zh-CN"/>
        </w:rPr>
        <w:t>，建设一流市属国企交通特色产业园区。</w:t>
      </w:r>
    </w:p>
    <w:p w14:paraId="1421E88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三、主要</w:t>
      </w:r>
      <w:r>
        <w:rPr>
          <w:rFonts w:hint="default" w:ascii="黑体" w:hAnsi="黑体" w:eastAsia="黑体" w:cs="黑体"/>
          <w:sz w:val="32"/>
          <w:szCs w:val="32"/>
          <w:highlight w:val="none"/>
          <w:lang w:val="en-US" w:eastAsia="zh-CN"/>
        </w:rPr>
        <w:t>任务</w:t>
      </w:r>
    </w:p>
    <w:p w14:paraId="7F98C1C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（一）深耕服务提质增效</w:t>
      </w:r>
    </w:p>
    <w:p w14:paraId="666ADBC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Times New Roman" w:hAnsi="Times New Roman" w:eastAsia="仿宋_GB2312" w:cs="Times New Roman"/>
          <w:b/>
          <w:bCs/>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‌1.优化物业服务模式‌</w:t>
      </w:r>
    </w:p>
    <w:p w14:paraId="5ECCB64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Times New Roman" w:hAnsi="Times New Roman" w:eastAsia="仿宋_GB2312" w:cs="Times New Roman"/>
          <w:b w:val="0"/>
          <w:bCs w:val="0"/>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——稳妥推进物业服务团队更换。</w:t>
      </w:r>
      <w:r>
        <w:rPr>
          <w:rFonts w:hint="eastAsia" w:ascii="Times New Roman" w:hAnsi="Times New Roman" w:eastAsia="仿宋_GB2312" w:cs="Times New Roman"/>
          <w:b w:val="0"/>
          <w:bCs w:val="0"/>
          <w:sz w:val="32"/>
          <w:szCs w:val="32"/>
          <w:highlight w:val="none"/>
          <w:lang w:val="en-US" w:eastAsia="zh-CN"/>
        </w:rPr>
        <w:t>将物业服务团队由杭州交投幸福绿城物业服务有限公司整体调整为杭州交投物业服务有限公司（以下简称“交投物业公司”），引入自有专业化物业团队，推动园区物业服务向完全自主管控转变，提升物业服务统筹能力与管控精度。</w:t>
      </w:r>
    </w:p>
    <w:p w14:paraId="3A61A74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Times New Roman" w:hAnsi="Times New Roman" w:eastAsia="仿宋_GB2312" w:cs="Times New Roman"/>
          <w:b/>
          <w:bCs/>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时间节点：</w:t>
      </w:r>
      <w:r>
        <w:rPr>
          <w:rFonts w:hint="eastAsia" w:ascii="Times New Roman" w:hAnsi="Times New Roman" w:eastAsia="仿宋_GB2312" w:cs="Times New Roman"/>
          <w:b w:val="0"/>
          <w:bCs w:val="0"/>
          <w:sz w:val="32"/>
          <w:szCs w:val="32"/>
          <w:highlight w:val="none"/>
          <w:lang w:val="en-US" w:eastAsia="zh-CN"/>
        </w:rPr>
        <w:t>2026年下半年启动物业服务团队更换洽谈工作；2027年初签订新一期物业服务合同。</w:t>
      </w:r>
    </w:p>
    <w:p w14:paraId="76C5962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Times New Roman" w:hAnsi="Times New Roman" w:eastAsia="仿宋_GB2312" w:cs="Times New Roman"/>
          <w:b w:val="0"/>
          <w:bCs w:val="0"/>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——全面提升物业服务品质。</w:t>
      </w:r>
      <w:r>
        <w:rPr>
          <w:rFonts w:hint="eastAsia" w:ascii="Times New Roman" w:hAnsi="Times New Roman" w:eastAsia="仿宋_GB2312" w:cs="Times New Roman"/>
          <w:b w:val="0"/>
          <w:bCs w:val="0"/>
          <w:sz w:val="32"/>
          <w:szCs w:val="32"/>
          <w:highlight w:val="none"/>
          <w:lang w:val="en-US" w:eastAsia="zh-CN"/>
        </w:rPr>
        <w:t>立足现有“管家式”服务体系，构建个性化、人性化、精细化服务体系。全面提升物业队伍形象风貌和服务响应效能，严格落实“1日响应、3日解难”服务机制，强化客服管控与绩效考核，激发一线服务主动性，夯实园区服务品质根基；同步拓展多元化特色增值服务，持续丰富服务内容，切实提升入驻企业的获得感与归属感。</w:t>
      </w:r>
    </w:p>
    <w:p w14:paraId="2F19922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outlineLvl w:val="1"/>
        <w:rPr>
          <w:rFonts w:hint="default" w:ascii="Times New Roman" w:hAnsi="Times New Roman" w:eastAsia="仿宋_GB2312" w:cs="Times New Roman"/>
          <w:b w:val="0"/>
          <w:bCs w:val="0"/>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时间节点：</w:t>
      </w:r>
      <w:r>
        <w:rPr>
          <w:rFonts w:hint="eastAsia" w:ascii="Times New Roman" w:hAnsi="Times New Roman" w:eastAsia="仿宋_GB2312" w:cs="Times New Roman"/>
          <w:b w:val="0"/>
          <w:bCs w:val="0"/>
          <w:sz w:val="32"/>
          <w:szCs w:val="32"/>
          <w:highlight w:val="none"/>
          <w:lang w:val="en-US" w:eastAsia="zh-CN"/>
        </w:rPr>
        <w:t>常态化推进。</w:t>
      </w:r>
    </w:p>
    <w:p w14:paraId="34E2E6F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bCs/>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2.深化服务</w:t>
      </w:r>
      <w:r>
        <w:rPr>
          <w:rFonts w:hint="default" w:ascii="Times New Roman" w:hAnsi="Times New Roman" w:eastAsia="仿宋_GB2312" w:cs="Times New Roman"/>
          <w:b/>
          <w:bCs/>
          <w:sz w:val="32"/>
          <w:szCs w:val="32"/>
          <w:highlight w:val="none"/>
          <w:lang w:val="en-US" w:eastAsia="zh-CN"/>
        </w:rPr>
        <w:t>标准建设</w:t>
      </w:r>
    </w:p>
    <w:p w14:paraId="4047522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sz w:val="32"/>
          <w:szCs w:val="32"/>
          <w:highlight w:val="yellow"/>
          <w:lang w:val="en-US" w:eastAsia="zh-CN"/>
        </w:rPr>
      </w:pPr>
      <w:r>
        <w:rPr>
          <w:rFonts w:hint="eastAsia" w:ascii="Times New Roman" w:hAnsi="Times New Roman" w:eastAsia="仿宋_GB2312" w:cs="Times New Roman"/>
          <w:b/>
          <w:bCs/>
          <w:sz w:val="32"/>
          <w:szCs w:val="32"/>
          <w:highlight w:val="none"/>
          <w:lang w:val="en-US" w:eastAsia="zh-CN"/>
        </w:rPr>
        <w:t>——落实标准化试点建设。</w:t>
      </w:r>
      <w:r>
        <w:rPr>
          <w:rFonts w:hint="default" w:ascii="Times New Roman" w:hAnsi="Times New Roman" w:eastAsia="仿宋_GB2312" w:cs="Times New Roman"/>
          <w:sz w:val="32"/>
          <w:szCs w:val="32"/>
          <w:highlight w:val="none"/>
          <w:lang w:val="en-US" w:eastAsia="zh-CN"/>
        </w:rPr>
        <w:t>紧扣杭州市标准化试点工作要求，系统构建一站式惠企服务标准体系，全面推进惠企服务流程标准化落地，完善惠企服务保障体系，并建立服务评价与持续改进机制，确保顺利通过试点验收</w:t>
      </w:r>
      <w:r>
        <w:rPr>
          <w:rFonts w:hint="eastAsia" w:ascii="Times New Roman" w:hAnsi="Times New Roman" w:eastAsia="仿宋_GB2312" w:cs="Times New Roman"/>
          <w:sz w:val="32"/>
          <w:szCs w:val="32"/>
          <w:highlight w:val="none"/>
          <w:lang w:val="en-US" w:eastAsia="zh-CN"/>
        </w:rPr>
        <w:t>。</w:t>
      </w:r>
    </w:p>
    <w:p w14:paraId="49970E8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时间节点：</w:t>
      </w:r>
      <w:r>
        <w:rPr>
          <w:rFonts w:hint="default" w:ascii="Times New Roman" w:hAnsi="Times New Roman" w:eastAsia="仿宋_GB2312" w:cs="Times New Roman"/>
          <w:b w:val="0"/>
          <w:bCs w:val="0"/>
          <w:sz w:val="32"/>
          <w:szCs w:val="32"/>
          <w:highlight w:val="none"/>
          <w:lang w:val="en-US" w:eastAsia="zh-CN"/>
        </w:rPr>
        <w:t>2027年</w:t>
      </w:r>
      <w:r>
        <w:rPr>
          <w:rFonts w:hint="eastAsia" w:ascii="Times New Roman" w:hAnsi="Times New Roman" w:eastAsia="仿宋_GB2312" w:cs="Times New Roman"/>
          <w:b w:val="0"/>
          <w:bCs w:val="0"/>
          <w:sz w:val="32"/>
          <w:szCs w:val="32"/>
          <w:highlight w:val="none"/>
          <w:lang w:val="en-US" w:eastAsia="zh-CN"/>
        </w:rPr>
        <w:t>完成</w:t>
      </w:r>
      <w:r>
        <w:rPr>
          <w:rFonts w:hint="default" w:ascii="Times New Roman" w:hAnsi="Times New Roman" w:eastAsia="仿宋_GB2312" w:cs="Times New Roman"/>
          <w:b w:val="0"/>
          <w:bCs w:val="0"/>
          <w:sz w:val="32"/>
          <w:szCs w:val="32"/>
          <w:highlight w:val="none"/>
          <w:lang w:val="en-US" w:eastAsia="zh-CN"/>
        </w:rPr>
        <w:t>一站式惠企服务标准体系</w:t>
      </w:r>
      <w:r>
        <w:rPr>
          <w:rFonts w:hint="eastAsia" w:ascii="Times New Roman" w:hAnsi="Times New Roman" w:eastAsia="仿宋_GB2312" w:cs="Times New Roman"/>
          <w:b w:val="0"/>
          <w:bCs w:val="0"/>
          <w:sz w:val="32"/>
          <w:szCs w:val="32"/>
          <w:highlight w:val="none"/>
          <w:lang w:val="en-US" w:eastAsia="zh-CN"/>
        </w:rPr>
        <w:t>建设，按期完成杭州市标准化试点项目验收。</w:t>
      </w:r>
    </w:p>
    <w:p w14:paraId="122E88A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bCs/>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——推进管理体系认证。</w:t>
      </w:r>
      <w:r>
        <w:rPr>
          <w:rFonts w:hint="default" w:ascii="Times New Roman" w:hAnsi="Times New Roman" w:eastAsia="仿宋_GB2312" w:cs="Times New Roman"/>
          <w:sz w:val="32"/>
          <w:szCs w:val="32"/>
          <w:highlight w:val="none"/>
          <w:lang w:val="en-US" w:eastAsia="zh-CN"/>
        </w:rPr>
        <w:t>启动ISO质量管理体系认证创建工作，</w:t>
      </w:r>
      <w:r>
        <w:rPr>
          <w:rFonts w:hint="eastAsia" w:ascii="Times New Roman" w:hAnsi="Times New Roman" w:eastAsia="仿宋_GB2312" w:cs="Times New Roman"/>
          <w:sz w:val="32"/>
          <w:szCs w:val="32"/>
          <w:highlight w:val="none"/>
          <w:lang w:val="en-US" w:eastAsia="zh-CN"/>
        </w:rPr>
        <w:t>申请质量管理、环境管理、职业健康安全管理、信息安全管理等体系认证，</w:t>
      </w:r>
      <w:r>
        <w:rPr>
          <w:rFonts w:hint="default" w:ascii="Times New Roman" w:hAnsi="Times New Roman" w:eastAsia="仿宋_GB2312" w:cs="Times New Roman"/>
          <w:sz w:val="32"/>
          <w:szCs w:val="32"/>
          <w:highlight w:val="none"/>
          <w:lang w:val="en-US" w:eastAsia="zh-CN"/>
        </w:rPr>
        <w:t>以认证促规范、以规范促提升，</w:t>
      </w:r>
      <w:r>
        <w:rPr>
          <w:rFonts w:hint="eastAsia" w:ascii="Times New Roman" w:hAnsi="Times New Roman" w:eastAsia="仿宋_GB2312" w:cs="Times New Roman"/>
          <w:sz w:val="32"/>
          <w:szCs w:val="32"/>
          <w:highlight w:val="none"/>
          <w:lang w:val="en-US" w:eastAsia="zh-CN"/>
        </w:rPr>
        <w:t>推动</w:t>
      </w:r>
      <w:r>
        <w:rPr>
          <w:rFonts w:hint="default" w:ascii="Times New Roman" w:hAnsi="Times New Roman" w:eastAsia="仿宋_GB2312" w:cs="Times New Roman"/>
          <w:sz w:val="32"/>
          <w:szCs w:val="32"/>
          <w:highlight w:val="none"/>
          <w:lang w:val="en-US" w:eastAsia="zh-CN"/>
        </w:rPr>
        <w:t>园区服务由经验管理向规范化、体系化、专业化转型。</w:t>
      </w:r>
    </w:p>
    <w:p w14:paraId="42937A0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时间节点：</w:t>
      </w:r>
      <w:r>
        <w:rPr>
          <w:rFonts w:hint="default" w:ascii="Times New Roman" w:hAnsi="Times New Roman" w:eastAsia="仿宋_GB2312" w:cs="Times New Roman"/>
          <w:b w:val="0"/>
          <w:bCs w:val="0"/>
          <w:sz w:val="32"/>
          <w:szCs w:val="32"/>
          <w:highlight w:val="none"/>
          <w:lang w:val="en-US" w:eastAsia="zh-CN"/>
        </w:rPr>
        <w:t>202</w:t>
      </w:r>
      <w:r>
        <w:rPr>
          <w:rFonts w:hint="eastAsia" w:ascii="Times New Roman" w:hAnsi="Times New Roman" w:eastAsia="仿宋_GB2312" w:cs="Times New Roman"/>
          <w:b w:val="0"/>
          <w:bCs w:val="0"/>
          <w:sz w:val="32"/>
          <w:szCs w:val="32"/>
          <w:highlight w:val="none"/>
          <w:lang w:val="en-US" w:eastAsia="zh-CN"/>
        </w:rPr>
        <w:t>7</w:t>
      </w:r>
      <w:r>
        <w:rPr>
          <w:rFonts w:hint="default" w:ascii="Times New Roman" w:hAnsi="Times New Roman" w:eastAsia="仿宋_GB2312" w:cs="Times New Roman"/>
          <w:b w:val="0"/>
          <w:bCs w:val="0"/>
          <w:sz w:val="32"/>
          <w:szCs w:val="32"/>
          <w:highlight w:val="none"/>
          <w:lang w:val="en-US" w:eastAsia="zh-CN"/>
        </w:rPr>
        <w:t>年完成ISO管理体系认证</w:t>
      </w:r>
      <w:r>
        <w:rPr>
          <w:rFonts w:hint="eastAsia" w:ascii="Times New Roman" w:hAnsi="Times New Roman" w:eastAsia="仿宋_GB2312" w:cs="Times New Roman"/>
          <w:b w:val="0"/>
          <w:bCs w:val="0"/>
          <w:sz w:val="32"/>
          <w:szCs w:val="32"/>
          <w:highlight w:val="none"/>
          <w:lang w:val="en-US" w:eastAsia="zh-CN"/>
        </w:rPr>
        <w:t>工作。</w:t>
      </w:r>
    </w:p>
    <w:p w14:paraId="3F1B6FB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bCs/>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3.精准对接企业需求</w:t>
      </w:r>
    </w:p>
    <w:p w14:paraId="4101C98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b w:val="0"/>
          <w:bCs w:val="0"/>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——建立需求对接机制。</w:t>
      </w:r>
      <w:r>
        <w:rPr>
          <w:rFonts w:hint="eastAsia" w:ascii="Times New Roman" w:hAnsi="Times New Roman" w:eastAsia="仿宋_GB2312" w:cs="Times New Roman"/>
          <w:b w:val="0"/>
          <w:bCs w:val="0"/>
          <w:sz w:val="32"/>
          <w:szCs w:val="32"/>
          <w:highlight w:val="none"/>
          <w:lang w:val="en-US" w:eastAsia="zh-CN"/>
        </w:rPr>
        <w:t>建立常态化企业走访摸排、需求研判、精准服务工作机制，梳理企业在政策申报、资源对接、市场拓展、场景应用等方面的发展诉求，形成“一企一档”需求清单，实行分类施策、精准匹配、动态跟踪和闭环落实，从被动响应向主动服务转变，切实助力企业破解发展难题。</w:t>
      </w:r>
    </w:p>
    <w:p w14:paraId="54E7462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left"/>
        <w:textAlignment w:val="auto"/>
        <w:outlineLvl w:val="1"/>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时间节点：</w:t>
      </w:r>
      <w:r>
        <w:rPr>
          <w:rFonts w:hint="eastAsia" w:ascii="Times New Roman" w:hAnsi="Times New Roman" w:eastAsia="仿宋_GB2312" w:cs="Times New Roman"/>
          <w:b w:val="0"/>
          <w:bCs w:val="0"/>
          <w:sz w:val="32"/>
          <w:szCs w:val="32"/>
          <w:highlight w:val="none"/>
          <w:lang w:val="en-US" w:eastAsia="zh-CN"/>
        </w:rPr>
        <w:t>常态化推进</w:t>
      </w:r>
      <w:r>
        <w:rPr>
          <w:rFonts w:hint="default" w:ascii="Times New Roman" w:hAnsi="Times New Roman" w:eastAsia="仿宋_GB2312" w:cs="Times New Roman"/>
          <w:b w:val="0"/>
          <w:bCs w:val="0"/>
          <w:sz w:val="32"/>
          <w:szCs w:val="32"/>
          <w:highlight w:val="none"/>
          <w:lang w:eastAsia="zh-CN"/>
        </w:rPr>
        <w:t>，</w:t>
      </w:r>
      <w:r>
        <w:rPr>
          <w:rFonts w:hint="eastAsia" w:ascii="Times New Roman" w:hAnsi="Times New Roman" w:eastAsia="仿宋_GB2312" w:cs="Times New Roman"/>
          <w:b w:val="0"/>
          <w:bCs w:val="0"/>
          <w:sz w:val="32"/>
          <w:szCs w:val="32"/>
          <w:highlight w:val="none"/>
          <w:lang w:val="en-US" w:eastAsia="zh-CN"/>
        </w:rPr>
        <w:t>力争</w:t>
      </w:r>
      <w:r>
        <w:rPr>
          <w:rFonts w:hint="eastAsia" w:ascii="Times New Roman" w:hAnsi="Times New Roman" w:eastAsia="仿宋_GB2312" w:cs="Times New Roman"/>
          <w:b w:val="0"/>
          <w:bCs w:val="0"/>
          <w:sz w:val="32"/>
          <w:szCs w:val="32"/>
          <w:highlight w:val="none"/>
        </w:rPr>
        <w:t>到2028年末，园区</w:t>
      </w:r>
      <w:r>
        <w:rPr>
          <w:rFonts w:hint="eastAsia" w:ascii="Times New Roman" w:hAnsi="Times New Roman" w:eastAsia="仿宋_GB2312" w:cs="Times New Roman"/>
          <w:b w:val="0"/>
          <w:bCs w:val="0"/>
          <w:sz w:val="32"/>
          <w:szCs w:val="32"/>
          <w:highlight w:val="none"/>
          <w:lang w:val="en-US" w:eastAsia="zh-CN"/>
        </w:rPr>
        <w:t>整体</w:t>
      </w:r>
      <w:r>
        <w:rPr>
          <w:rFonts w:hint="eastAsia" w:ascii="Times New Roman" w:hAnsi="Times New Roman" w:eastAsia="仿宋_GB2312" w:cs="Times New Roman"/>
          <w:b w:val="0"/>
          <w:bCs w:val="0"/>
          <w:sz w:val="32"/>
          <w:szCs w:val="32"/>
          <w:highlight w:val="none"/>
        </w:rPr>
        <w:t>出租率稳定在9</w:t>
      </w:r>
      <w:r>
        <w:rPr>
          <w:rFonts w:hint="eastAsia" w:ascii="Times New Roman" w:hAnsi="Times New Roman" w:eastAsia="仿宋_GB2312" w:cs="Times New Roman"/>
          <w:b w:val="0"/>
          <w:bCs w:val="0"/>
          <w:sz w:val="32"/>
          <w:szCs w:val="32"/>
          <w:highlight w:val="none"/>
          <w:lang w:val="en-US" w:eastAsia="zh-CN"/>
        </w:rPr>
        <w:t>2</w:t>
      </w:r>
      <w:r>
        <w:rPr>
          <w:rFonts w:hint="eastAsia" w:ascii="Times New Roman" w:hAnsi="Times New Roman" w:eastAsia="仿宋_GB2312" w:cs="Times New Roman"/>
          <w:b w:val="0"/>
          <w:bCs w:val="0"/>
          <w:sz w:val="32"/>
          <w:szCs w:val="32"/>
          <w:highlight w:val="none"/>
        </w:rPr>
        <w:t>%</w:t>
      </w:r>
      <w:r>
        <w:rPr>
          <w:rFonts w:hint="eastAsia" w:ascii="Times New Roman" w:hAnsi="Times New Roman" w:eastAsia="仿宋_GB2312" w:cs="Times New Roman"/>
          <w:b w:val="0"/>
          <w:bCs w:val="0"/>
          <w:sz w:val="32"/>
          <w:szCs w:val="32"/>
          <w:highlight w:val="none"/>
          <w:lang w:val="en-US" w:eastAsia="zh-CN"/>
        </w:rPr>
        <w:t>及以上。</w:t>
      </w:r>
    </w:p>
    <w:p w14:paraId="703B987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（二）强化科技数字赋能</w:t>
      </w:r>
    </w:p>
    <w:p w14:paraId="12F46B9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bCs/>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1.提升园区智慧化水平</w:t>
      </w:r>
    </w:p>
    <w:p w14:paraId="23DF3F4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b w:val="0"/>
          <w:bCs w:val="0"/>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——搭建园区智慧运营“驾驶舱”。</w:t>
      </w:r>
      <w:r>
        <w:rPr>
          <w:rFonts w:hint="eastAsia" w:ascii="Times New Roman" w:hAnsi="Times New Roman" w:eastAsia="仿宋_GB2312" w:cs="Times New Roman"/>
          <w:b w:val="0"/>
          <w:bCs w:val="0"/>
          <w:sz w:val="32"/>
          <w:szCs w:val="32"/>
          <w:highlight w:val="none"/>
          <w:lang w:val="en-US" w:eastAsia="zh-CN"/>
        </w:rPr>
        <w:t>整合园区现有服务资源与信息系统，构建一体化智慧运营平台，以“驾驶舱”形式呈现园区运行“一张图”，模块化集成安防管控、能耗监测、物业服务、资产管理、产业运营、惠企服务等全维度功能，实现园区运行状态实时可视、全域可控，全面提升运营管理效能与决策响应能力。</w:t>
      </w:r>
    </w:p>
    <w:p w14:paraId="3C49726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时间节点：</w:t>
      </w:r>
      <w:r>
        <w:rPr>
          <w:rFonts w:hint="eastAsia" w:ascii="Times New Roman" w:hAnsi="Times New Roman" w:eastAsia="仿宋_GB2312" w:cs="Times New Roman"/>
          <w:b w:val="0"/>
          <w:bCs w:val="0"/>
          <w:sz w:val="32"/>
          <w:szCs w:val="32"/>
          <w:highlight w:val="none"/>
          <w:lang w:val="en-US" w:eastAsia="zh-CN"/>
        </w:rPr>
        <w:t>2028年建成园区智慧运营“驾驶舱”并投入运行。</w:t>
      </w:r>
    </w:p>
    <w:p w14:paraId="122C90F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b/>
          <w:bCs/>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——打造科技创新应用场景。</w:t>
      </w:r>
      <w:r>
        <w:rPr>
          <w:rFonts w:hint="eastAsia" w:ascii="Times New Roman" w:hAnsi="Times New Roman" w:eastAsia="仿宋_GB2312" w:cs="Times New Roman"/>
          <w:b w:val="0"/>
          <w:bCs w:val="0"/>
          <w:sz w:val="32"/>
          <w:szCs w:val="32"/>
          <w:highlight w:val="none"/>
          <w:lang w:val="en-US" w:eastAsia="zh-CN"/>
        </w:rPr>
        <w:t>落地无人清扫车等智能保洁设备，有效降低运维成本，构建绿色低碳、智能高效、集约可控的园区智慧运维体系；探索引入无人驾驶接驳车，解决“最后一公里”通勤问题，全面提升园区通勤便捷度与智慧化体验；联合入驻企业共建创新应用场景，依托园区运营场景推动创新成果落地转化，实现园区与入驻企业双向赋能、协同发展。</w:t>
      </w:r>
    </w:p>
    <w:p w14:paraId="62248CF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时间节点：</w:t>
      </w:r>
      <w:r>
        <w:rPr>
          <w:rFonts w:hint="eastAsia" w:ascii="Times New Roman" w:hAnsi="Times New Roman" w:eastAsia="仿宋_GB2312" w:cs="Times New Roman"/>
          <w:b w:val="0"/>
          <w:bCs w:val="0"/>
          <w:sz w:val="32"/>
          <w:szCs w:val="32"/>
          <w:highlight w:val="none"/>
          <w:lang w:val="en-US" w:eastAsia="zh-CN"/>
        </w:rPr>
        <w:t>2027年投用1台无人清扫车；2028年试行无人驾驶接驳车，落地1个创新应用场景。</w:t>
      </w:r>
    </w:p>
    <w:p w14:paraId="3936721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b w:val="0"/>
          <w:bCs w:val="0"/>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——部署智能基础设施。</w:t>
      </w:r>
      <w:r>
        <w:rPr>
          <w:rFonts w:hint="eastAsia" w:ascii="Times New Roman" w:hAnsi="Times New Roman" w:eastAsia="仿宋_GB2312" w:cs="Times New Roman"/>
          <w:b w:val="0"/>
          <w:bCs w:val="0"/>
          <w:color w:val="auto"/>
          <w:sz w:val="32"/>
          <w:szCs w:val="32"/>
          <w:highlight w:val="none"/>
          <w:lang w:val="en-US" w:eastAsia="zh-CN"/>
        </w:rPr>
        <w:t>探索将园区重点区域视频接入本地多模态大模型，通过AI实时分析视频流，实现人员异常行为检测、烟火识别、车辆违规停放识别、人群聚集预警等智能安防场景的全天候自动化监管，并将结构化分析结果实时推送至园区消控中心</w:t>
      </w:r>
      <w:r>
        <w:rPr>
          <w:rFonts w:hint="eastAsia" w:ascii="Times New Roman" w:hAnsi="Times New Roman" w:eastAsia="仿宋_GB2312" w:cs="Times New Roman"/>
          <w:b w:val="0"/>
          <w:bCs w:val="0"/>
          <w:sz w:val="32"/>
          <w:szCs w:val="32"/>
          <w:highlight w:val="none"/>
          <w:lang w:val="en-US" w:eastAsia="zh-CN"/>
        </w:rPr>
        <w:t>；着眼园区内部数据处理与智能分析需求，探索部署园区本地AI算力，为园区数字化、智能化发展打好基础。</w:t>
      </w:r>
    </w:p>
    <w:p w14:paraId="7E5CCF6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val="0"/>
          <w:bCs w:val="0"/>
          <w:color w:val="auto"/>
          <w:sz w:val="32"/>
          <w:szCs w:val="32"/>
          <w:highlight w:val="lightGray"/>
          <w:lang w:val="en-US" w:eastAsia="zh-CN"/>
        </w:rPr>
      </w:pPr>
      <w:r>
        <w:rPr>
          <w:rFonts w:hint="default" w:ascii="Times New Roman" w:hAnsi="Times New Roman" w:eastAsia="仿宋_GB2312" w:cs="Times New Roman"/>
          <w:b/>
          <w:bCs/>
          <w:sz w:val="32"/>
          <w:szCs w:val="32"/>
          <w:highlight w:val="none"/>
          <w:lang w:val="en-US" w:eastAsia="zh-CN"/>
        </w:rPr>
        <w:t>时间节点：</w:t>
      </w:r>
      <w:r>
        <w:rPr>
          <w:rFonts w:hint="eastAsia" w:ascii="Times New Roman" w:hAnsi="Times New Roman" w:eastAsia="仿宋_GB2312" w:cs="Times New Roman"/>
          <w:b w:val="0"/>
          <w:bCs w:val="0"/>
          <w:sz w:val="32"/>
          <w:szCs w:val="32"/>
          <w:highlight w:val="none"/>
          <w:lang w:val="en-US" w:eastAsia="zh-CN"/>
        </w:rPr>
        <w:t>2026年底前落地“AI哨兵”</w:t>
      </w:r>
      <w:r>
        <w:rPr>
          <w:rFonts w:hint="eastAsia" w:ascii="Times New Roman" w:hAnsi="Times New Roman" w:eastAsia="仿宋_GB2312" w:cs="Times New Roman"/>
          <w:b w:val="0"/>
          <w:bCs w:val="0"/>
          <w:color w:val="auto"/>
          <w:sz w:val="32"/>
          <w:szCs w:val="32"/>
          <w:highlight w:val="none"/>
          <w:lang w:val="en-US" w:eastAsia="zh-CN"/>
        </w:rPr>
        <w:t>。</w:t>
      </w:r>
    </w:p>
    <w:p w14:paraId="5991631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b/>
          <w:bCs/>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2.培育园区产业生态</w:t>
      </w:r>
    </w:p>
    <w:p w14:paraId="721BAF3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——深化产业招引培育。</w:t>
      </w:r>
      <w:r>
        <w:rPr>
          <w:rFonts w:hint="eastAsia" w:ascii="Times New Roman" w:hAnsi="Times New Roman" w:eastAsia="仿宋_GB2312" w:cs="Times New Roman"/>
          <w:sz w:val="32"/>
          <w:szCs w:val="32"/>
          <w:highlight w:val="none"/>
          <w:lang w:val="en-US" w:eastAsia="zh-CN"/>
        </w:rPr>
        <w:t>依托市级孵化器深耕存量企业培育，提供资源对接、要素赋能、产业协作等服务，</w:t>
      </w:r>
      <w:r>
        <w:rPr>
          <w:rFonts w:hint="eastAsia" w:ascii="Times New Roman" w:hAnsi="Times New Roman" w:eastAsia="仿宋_GB2312" w:cs="Times New Roman"/>
          <w:b w:val="0"/>
          <w:bCs w:val="0"/>
          <w:sz w:val="32"/>
          <w:szCs w:val="32"/>
          <w:highlight w:val="none"/>
          <w:lang w:val="en-US" w:eastAsia="zh-CN"/>
        </w:rPr>
        <w:t>对成长潜力较好的企业开展小额股权投资，</w:t>
      </w:r>
      <w:r>
        <w:rPr>
          <w:rFonts w:hint="eastAsia" w:ascii="Times New Roman" w:hAnsi="Times New Roman" w:eastAsia="仿宋_GB2312" w:cs="Times New Roman"/>
          <w:sz w:val="32"/>
          <w:szCs w:val="32"/>
          <w:highlight w:val="none"/>
          <w:lang w:val="en-US" w:eastAsia="zh-CN"/>
        </w:rPr>
        <w:t>以资本纽带深度绑定入驻企业；</w:t>
      </w:r>
      <w:r>
        <w:rPr>
          <w:rFonts w:hint="eastAsia" w:ascii="Times New Roman" w:hAnsi="Times New Roman" w:eastAsia="仿宋_GB2312" w:cs="Times New Roman"/>
          <w:b w:val="0"/>
          <w:bCs w:val="0"/>
          <w:sz w:val="32"/>
          <w:szCs w:val="32"/>
          <w:highlight w:val="none"/>
          <w:lang w:val="en-US" w:eastAsia="zh-CN"/>
        </w:rPr>
        <w:t>全力推进省级科技企业孵化器申报创建工作，推动孵化载体能级迭代</w:t>
      </w:r>
      <w:r>
        <w:rPr>
          <w:rFonts w:hint="eastAsia" w:ascii="Times New Roman" w:hAnsi="Times New Roman" w:eastAsia="仿宋_GB2312" w:cs="Times New Roman"/>
          <w:sz w:val="32"/>
          <w:szCs w:val="32"/>
          <w:highlight w:val="none"/>
          <w:lang w:val="en-US" w:eastAsia="zh-CN"/>
        </w:rPr>
        <w:t>；围绕</w:t>
      </w:r>
      <w:r>
        <w:rPr>
          <w:rFonts w:hint="eastAsia" w:ascii="Times New Roman" w:hAnsi="Times New Roman" w:eastAsia="仿宋_GB2312" w:cs="Times New Roman"/>
          <w:b w:val="0"/>
          <w:bCs w:val="0"/>
          <w:sz w:val="32"/>
          <w:szCs w:val="32"/>
          <w:highlight w:val="none"/>
          <w:lang w:val="en-US" w:eastAsia="zh-CN"/>
        </w:rPr>
        <w:t>园区</w:t>
      </w:r>
      <w:r>
        <w:rPr>
          <w:rFonts w:hint="eastAsia" w:ascii="Times New Roman" w:hAnsi="Times New Roman" w:eastAsia="仿宋_GB2312" w:cs="Times New Roman"/>
          <w:sz w:val="32"/>
          <w:szCs w:val="32"/>
          <w:highlight w:val="none"/>
          <w:lang w:val="en-US" w:eastAsia="zh-CN"/>
        </w:rPr>
        <w:t>产业定位招引上下游优质企业，推进补链、强链、延链，加快形成产业集群效应。</w:t>
      </w:r>
    </w:p>
    <w:p w14:paraId="3C0D8C6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时间节点：</w:t>
      </w:r>
      <w:r>
        <w:rPr>
          <w:rFonts w:hint="default" w:ascii="Times New Roman" w:hAnsi="Times New Roman" w:eastAsia="仿宋_GB2312" w:cs="Times New Roman"/>
          <w:b w:val="0"/>
          <w:bCs w:val="0"/>
          <w:sz w:val="32"/>
          <w:szCs w:val="32"/>
          <w:highlight w:val="none"/>
          <w:lang w:val="en-US" w:eastAsia="zh-CN"/>
        </w:rPr>
        <w:t>常态化开展产业招引、培育、协同赋能工作</w:t>
      </w:r>
      <w:r>
        <w:rPr>
          <w:rFonts w:hint="eastAsia" w:ascii="Times New Roman" w:hAnsi="Times New Roman" w:eastAsia="仿宋_GB2312" w:cs="Times New Roman"/>
          <w:b w:val="0"/>
          <w:bCs w:val="0"/>
          <w:sz w:val="32"/>
          <w:szCs w:val="32"/>
          <w:highlight w:val="none"/>
          <w:lang w:val="en-US" w:eastAsia="zh-CN"/>
        </w:rPr>
        <w:t>，2028年完成省级科技企业孵化器申报认定工作。</w:t>
      </w:r>
    </w:p>
    <w:p w14:paraId="3A8D301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b/>
          <w:bCs/>
          <w:color w:val="auto"/>
          <w:sz w:val="32"/>
          <w:szCs w:val="32"/>
          <w:highlight w:val="none"/>
          <w:lang w:val="en-US" w:eastAsia="zh-CN"/>
        </w:rPr>
        <w:t>——构建产学研协同创新体系。</w:t>
      </w:r>
      <w:r>
        <w:rPr>
          <w:rFonts w:hint="eastAsia" w:ascii="Times New Roman" w:hAnsi="Times New Roman" w:eastAsia="仿宋_GB2312" w:cs="Times New Roman"/>
          <w:b w:val="0"/>
          <w:bCs w:val="0"/>
          <w:sz w:val="32"/>
          <w:szCs w:val="32"/>
          <w:highlight w:val="none"/>
          <w:lang w:val="en-US" w:eastAsia="zh-CN"/>
        </w:rPr>
        <w:t>依托园区科创企业集聚优势，持续优化产业结构、提升科技企业占比，</w:t>
      </w:r>
      <w:r>
        <w:rPr>
          <w:rFonts w:hint="eastAsia" w:ascii="Times New Roman" w:hAnsi="Times New Roman" w:eastAsia="仿宋_GB2312" w:cs="Times New Roman"/>
          <w:color w:val="auto"/>
          <w:sz w:val="32"/>
          <w:szCs w:val="32"/>
          <w:highlight w:val="none"/>
          <w:lang w:val="en-US" w:eastAsia="zh-CN"/>
        </w:rPr>
        <w:t>适时谋划设立智慧交通创新研究院或联合实验室，聚焦智慧交通、数字出行、车路协同等领域，充分释放园区智慧场景、运维场景、产业场景资源优势，搭建技术研发与成果转化平台，提升园区产业集聚度与创新发展能级。</w:t>
      </w:r>
    </w:p>
    <w:p w14:paraId="11504C3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时间节点：</w:t>
      </w:r>
      <w:r>
        <w:rPr>
          <w:rFonts w:hint="eastAsia" w:ascii="Times New Roman" w:hAnsi="Times New Roman" w:eastAsia="仿宋_GB2312" w:cs="Times New Roman"/>
          <w:b w:val="0"/>
          <w:bCs w:val="0"/>
          <w:sz w:val="32"/>
          <w:szCs w:val="32"/>
          <w:highlight w:val="none"/>
          <w:lang w:val="en-US" w:eastAsia="zh-CN"/>
        </w:rPr>
        <w:t>2027年科技类企业占入驻企业比重超过70%；2028年谋划落地1个创新研究院或联合实验室。</w:t>
      </w:r>
    </w:p>
    <w:p w14:paraId="588686D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lang w:val="en-US" w:eastAsia="zh-CN"/>
        </w:rPr>
        <w:t>（三）打造特色品牌标杆</w:t>
      </w:r>
    </w:p>
    <w:p w14:paraId="40E09E1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bCs/>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1.构建园区特色品牌体系</w:t>
      </w:r>
    </w:p>
    <w:p w14:paraId="0895BAB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outlineLvl w:val="1"/>
        <w:rPr>
          <w:rFonts w:hint="eastAsia" w:ascii="Times New Roman" w:hAnsi="Times New Roman" w:eastAsia="仿宋_GB2312" w:cs="Times New Roman"/>
          <w:b w:val="0"/>
          <w:bCs w:val="0"/>
          <w:sz w:val="32"/>
          <w:szCs w:val="32"/>
          <w:highlight w:val="none"/>
          <w:lang w:val="en-US" w:eastAsia="zh-CN"/>
        </w:rPr>
      </w:pPr>
      <w:r>
        <w:rPr>
          <w:rFonts w:hint="eastAsia" w:ascii="Times New Roman" w:hAnsi="Times New Roman" w:eastAsia="仿宋_GB2312" w:cs="Times New Roman"/>
          <w:b w:val="0"/>
          <w:bCs w:val="0"/>
          <w:sz w:val="32"/>
          <w:szCs w:val="32"/>
          <w:highlight w:val="none"/>
          <w:lang w:val="en-US" w:eastAsia="zh-CN"/>
        </w:rPr>
        <w:t>深耕园区“交投·智享”特色服务品牌，盘活企业文化中心、暖企小站、杭州书房等服务阵地，统筹谋划年度特色暖企惠企活动，常态化开展多元化精准服务，做实做细品牌服务内核；系统梳理园区在运营服务、企业赋能、产业培育等方面的特色做法与工作成效，形成可传播、可复制的典型案例，持续拓宽宣传渠道、创新宣传载体，提升品牌辨识度与区域影响力。</w:t>
      </w:r>
    </w:p>
    <w:p w14:paraId="5D96509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时间节点：</w:t>
      </w:r>
      <w:r>
        <w:rPr>
          <w:rFonts w:hint="default" w:ascii="Times New Roman" w:hAnsi="Times New Roman" w:eastAsia="仿宋_GB2312" w:cs="Times New Roman"/>
          <w:b w:val="0"/>
          <w:bCs w:val="0"/>
          <w:sz w:val="32"/>
          <w:szCs w:val="32"/>
          <w:highlight w:val="none"/>
          <w:lang w:val="en-US" w:eastAsia="zh-CN"/>
        </w:rPr>
        <w:t>2026年底前完成品牌体系梳理、</w:t>
      </w:r>
      <w:r>
        <w:rPr>
          <w:rFonts w:hint="eastAsia" w:ascii="Times New Roman" w:hAnsi="Times New Roman" w:eastAsia="仿宋_GB2312" w:cs="Times New Roman"/>
          <w:b w:val="0"/>
          <w:bCs w:val="0"/>
          <w:sz w:val="32"/>
          <w:szCs w:val="32"/>
          <w:highlight w:val="none"/>
          <w:lang w:val="en-US" w:eastAsia="zh-CN"/>
        </w:rPr>
        <w:t>典型</w:t>
      </w:r>
      <w:r>
        <w:rPr>
          <w:rFonts w:hint="default" w:ascii="Times New Roman" w:hAnsi="Times New Roman" w:eastAsia="仿宋_GB2312" w:cs="Times New Roman"/>
          <w:b w:val="0"/>
          <w:bCs w:val="0"/>
          <w:sz w:val="32"/>
          <w:szCs w:val="32"/>
          <w:highlight w:val="none"/>
          <w:lang w:val="en-US" w:eastAsia="zh-CN"/>
        </w:rPr>
        <w:t>案例汇编及品牌故事提炼</w:t>
      </w:r>
      <w:r>
        <w:rPr>
          <w:rFonts w:hint="eastAsia" w:ascii="Times New Roman" w:hAnsi="Times New Roman" w:eastAsia="仿宋_GB2312" w:cs="Times New Roman"/>
          <w:b w:val="0"/>
          <w:bCs w:val="0"/>
          <w:sz w:val="32"/>
          <w:szCs w:val="32"/>
          <w:highlight w:val="none"/>
          <w:lang w:val="en-US" w:eastAsia="zh-CN"/>
        </w:rPr>
        <w:t>，常态化推进品牌宣传工作。</w:t>
      </w:r>
    </w:p>
    <w:p w14:paraId="08D2C3D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b/>
          <w:bCs/>
          <w:sz w:val="32"/>
          <w:szCs w:val="32"/>
          <w:highlight w:val="none"/>
          <w:lang w:val="en-US" w:eastAsia="zh-CN"/>
        </w:rPr>
      </w:pPr>
      <w:r>
        <w:rPr>
          <w:rFonts w:hint="eastAsia" w:ascii="Times New Roman" w:hAnsi="Times New Roman" w:eastAsia="仿宋_GB2312" w:cs="Times New Roman"/>
          <w:b/>
          <w:bCs/>
          <w:sz w:val="32"/>
          <w:szCs w:val="32"/>
          <w:highlight w:val="none"/>
          <w:lang w:val="en-US" w:eastAsia="zh-CN"/>
        </w:rPr>
        <w:t>2.推动品牌价值输出</w:t>
      </w:r>
    </w:p>
    <w:p w14:paraId="1A61352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outlineLvl w:val="1"/>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以回音必大厦项目为轻资产运营先行试点，积累品牌输出实战经验，持续完善轻资产运营路径，总结提炼可复制、可推广的运营管理范式；进一步储备拓展轻资产运营项目，推动园区运营效益稳步提升，实现园区从单一项目运营向品牌输出、模式输出、价值输出的跨越式发展。</w:t>
      </w:r>
    </w:p>
    <w:p w14:paraId="1670E59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时间节点：</w:t>
      </w:r>
      <w:r>
        <w:rPr>
          <w:rFonts w:hint="eastAsia" w:ascii="Times New Roman" w:hAnsi="Times New Roman" w:eastAsia="仿宋_GB2312" w:cs="Times New Roman"/>
          <w:b w:val="0"/>
          <w:bCs w:val="0"/>
          <w:sz w:val="32"/>
          <w:szCs w:val="32"/>
          <w:highlight w:val="none"/>
          <w:lang w:val="en-US" w:eastAsia="zh-CN"/>
        </w:rPr>
        <w:t>2027年储备1个、争取拓展1个轻资产运营项目；2028年储备2个、争取拓展1个轻资产运营项目。</w:t>
      </w:r>
    </w:p>
    <w:p w14:paraId="68E9902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outlineLvl w:val="1"/>
        <w:rPr>
          <w:rFonts w:hint="eastAsia" w:ascii="Times New Roman" w:hAnsi="Times New Roman" w:eastAsia="仿宋_GB2312" w:cs="Times New Roman"/>
          <w:b/>
          <w:bCs/>
          <w:sz w:val="32"/>
          <w:szCs w:val="32"/>
          <w:highlight w:val="none"/>
          <w:lang w:val="en-US" w:eastAsia="zh-CN"/>
        </w:rPr>
      </w:pPr>
    </w:p>
    <w:p w14:paraId="6D1A267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附件：1.园区做精做优任务清单</w:t>
      </w:r>
    </w:p>
    <w:p w14:paraId="32B938A2">
      <w:pPr>
        <w:keepNext w:val="0"/>
        <w:keepLines w:val="0"/>
        <w:pageBreakBefore w:val="0"/>
        <w:widowControl w:val="0"/>
        <w:kinsoku/>
        <w:wordWrap/>
        <w:overflowPunct/>
        <w:topLinePunct w:val="0"/>
        <w:autoSpaceDE/>
        <w:autoSpaceDN/>
        <w:bidi w:val="0"/>
        <w:adjustRightInd/>
        <w:snapToGrid/>
        <w:spacing w:line="560" w:lineRule="exact"/>
        <w:ind w:firstLine="1600" w:firstLineChars="500"/>
        <w:jc w:val="both"/>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2.园区入驻企业情况汇总表</w:t>
      </w:r>
    </w:p>
    <w:p w14:paraId="77DB713E">
      <w:pPr>
        <w:rPr>
          <w:rFonts w:hint="eastAsia" w:ascii="Times New Roman" w:hAnsi="Times New Roman" w:eastAsia="仿宋_GB2312" w:cs="Times New Roman"/>
          <w:sz w:val="32"/>
          <w:szCs w:val="32"/>
          <w:highlight w:val="none"/>
          <w:lang w:val="en-US" w:eastAsia="zh-CN"/>
        </w:rPr>
        <w:sectPr>
          <w:footerReference r:id="rId3" w:type="default"/>
          <w:pgSz w:w="11906" w:h="16838"/>
          <w:pgMar w:top="2098" w:right="1474" w:bottom="1984" w:left="1587" w:header="851" w:footer="992" w:gutter="0"/>
          <w:cols w:space="425" w:num="1"/>
          <w:docGrid w:type="lines" w:linePitch="312" w:charSpace="0"/>
        </w:sectPr>
      </w:pPr>
    </w:p>
    <w:p w14:paraId="4E9BF96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附件1：</w:t>
      </w:r>
    </w:p>
    <w:p w14:paraId="4F20CF4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小标宋" w:hAnsi="小标宋" w:eastAsia="小标宋" w:cs="小标宋"/>
          <w:sz w:val="44"/>
          <w:szCs w:val="44"/>
          <w:highlight w:val="none"/>
          <w:lang w:val="en-US" w:eastAsia="zh-CN"/>
        </w:rPr>
      </w:pPr>
      <w:r>
        <w:rPr>
          <w:rFonts w:hint="eastAsia" w:ascii="小标宋" w:hAnsi="小标宋" w:eastAsia="小标宋" w:cs="小标宋"/>
          <w:sz w:val="44"/>
          <w:szCs w:val="44"/>
          <w:highlight w:val="none"/>
          <w:lang w:val="en-US" w:eastAsia="zh-CN"/>
        </w:rPr>
        <w:t>园区做精做优任务清单</w:t>
      </w:r>
    </w:p>
    <w:tbl>
      <w:tblPr>
        <w:tblStyle w:val="6"/>
        <w:tblW w:w="511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7"/>
        <w:gridCol w:w="1767"/>
        <w:gridCol w:w="6313"/>
        <w:gridCol w:w="2511"/>
        <w:gridCol w:w="1788"/>
      </w:tblGrid>
      <w:tr w14:paraId="7869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338" w:type="pct"/>
            <w:vAlign w:val="center"/>
          </w:tcPr>
          <w:p w14:paraId="118FD56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s="黑体"/>
                <w:sz w:val="24"/>
                <w:szCs w:val="24"/>
                <w:highlight w:val="none"/>
                <w:vertAlign w:val="baseline"/>
                <w:lang w:val="en-US" w:eastAsia="zh-CN"/>
              </w:rPr>
            </w:pPr>
            <w:r>
              <w:rPr>
                <w:rFonts w:hint="eastAsia" w:ascii="黑体" w:hAnsi="黑体" w:eastAsia="黑体" w:cs="黑体"/>
                <w:sz w:val="24"/>
                <w:szCs w:val="24"/>
                <w:highlight w:val="none"/>
                <w:vertAlign w:val="baseline"/>
                <w:lang w:val="en-US" w:eastAsia="zh-CN"/>
              </w:rPr>
              <w:t>序号</w:t>
            </w:r>
          </w:p>
        </w:tc>
        <w:tc>
          <w:tcPr>
            <w:tcW w:w="665" w:type="pct"/>
            <w:vAlign w:val="center"/>
          </w:tcPr>
          <w:p w14:paraId="5F46C78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s="黑体"/>
                <w:b/>
                <w:bCs/>
                <w:sz w:val="24"/>
                <w:szCs w:val="24"/>
                <w:highlight w:val="none"/>
                <w:vertAlign w:val="baseline"/>
                <w:lang w:val="en-US" w:eastAsia="zh-CN"/>
              </w:rPr>
            </w:pPr>
            <w:r>
              <w:rPr>
                <w:rFonts w:hint="eastAsia" w:ascii="黑体" w:hAnsi="黑体" w:eastAsia="黑体" w:cs="黑体"/>
                <w:b w:val="0"/>
                <w:bCs w:val="0"/>
                <w:sz w:val="24"/>
                <w:szCs w:val="24"/>
                <w:highlight w:val="none"/>
                <w:vertAlign w:val="baseline"/>
                <w:lang w:val="en-US" w:eastAsia="zh-CN"/>
              </w:rPr>
              <w:t>分类</w:t>
            </w:r>
          </w:p>
        </w:tc>
        <w:tc>
          <w:tcPr>
            <w:tcW w:w="2376" w:type="pct"/>
            <w:vAlign w:val="center"/>
          </w:tcPr>
          <w:p w14:paraId="12C334A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s="黑体"/>
                <w:sz w:val="24"/>
                <w:szCs w:val="24"/>
                <w:highlight w:val="none"/>
                <w:vertAlign w:val="baseline"/>
                <w:lang w:val="en-US" w:eastAsia="zh-CN"/>
              </w:rPr>
            </w:pPr>
            <w:r>
              <w:rPr>
                <w:rFonts w:hint="eastAsia" w:ascii="黑体" w:hAnsi="黑体" w:eastAsia="黑体" w:cs="黑体"/>
                <w:sz w:val="24"/>
                <w:szCs w:val="24"/>
                <w:highlight w:val="none"/>
                <w:vertAlign w:val="baseline"/>
                <w:lang w:val="en-US" w:eastAsia="zh-CN"/>
              </w:rPr>
              <w:t>主要任务</w:t>
            </w:r>
          </w:p>
        </w:tc>
        <w:tc>
          <w:tcPr>
            <w:tcW w:w="945" w:type="pct"/>
            <w:vAlign w:val="center"/>
          </w:tcPr>
          <w:p w14:paraId="746A48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s="黑体"/>
                <w:sz w:val="24"/>
                <w:szCs w:val="24"/>
                <w:highlight w:val="none"/>
                <w:vertAlign w:val="baseline"/>
                <w:lang w:val="en-US" w:eastAsia="zh-CN"/>
              </w:rPr>
            </w:pPr>
            <w:r>
              <w:rPr>
                <w:rFonts w:hint="eastAsia" w:ascii="黑体" w:hAnsi="黑体" w:eastAsia="黑体" w:cs="黑体"/>
                <w:sz w:val="24"/>
                <w:szCs w:val="24"/>
                <w:highlight w:val="none"/>
                <w:vertAlign w:val="baseline"/>
                <w:lang w:val="en-US" w:eastAsia="zh-CN"/>
              </w:rPr>
              <w:t>时间节点</w:t>
            </w:r>
          </w:p>
        </w:tc>
        <w:tc>
          <w:tcPr>
            <w:tcW w:w="673" w:type="pct"/>
            <w:vAlign w:val="center"/>
          </w:tcPr>
          <w:p w14:paraId="754644D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s="黑体"/>
                <w:sz w:val="24"/>
                <w:szCs w:val="24"/>
                <w:highlight w:val="none"/>
                <w:vertAlign w:val="baseline"/>
                <w:lang w:val="en-US" w:eastAsia="zh-CN"/>
              </w:rPr>
            </w:pPr>
            <w:r>
              <w:rPr>
                <w:rFonts w:hint="eastAsia" w:ascii="黑体" w:hAnsi="黑体" w:eastAsia="黑体" w:cs="黑体"/>
                <w:sz w:val="24"/>
                <w:szCs w:val="24"/>
                <w:highlight w:val="none"/>
                <w:vertAlign w:val="baseline"/>
                <w:lang w:val="en-US" w:eastAsia="zh-CN"/>
              </w:rPr>
              <w:t>责任主体</w:t>
            </w:r>
          </w:p>
        </w:tc>
      </w:tr>
      <w:tr w14:paraId="5DD8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25EF0F9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1</w:t>
            </w:r>
          </w:p>
        </w:tc>
        <w:tc>
          <w:tcPr>
            <w:tcW w:w="665" w:type="pct"/>
            <w:vMerge w:val="restart"/>
            <w:vAlign w:val="center"/>
          </w:tcPr>
          <w:p w14:paraId="581B3E8D">
            <w:pPr>
              <w:pStyle w:val="4"/>
              <w:keepNext w:val="0"/>
              <w:keepLines w:val="0"/>
              <w:widowControl/>
              <w:suppressLineNumbers w:val="0"/>
              <w:jc w:val="center"/>
              <w:rPr>
                <w:rFonts w:hint="default" w:ascii="Times New Roman" w:hAnsi="Times New Roman" w:eastAsia="仿宋_GB2312" w:cs="Times New Roman"/>
                <w:b/>
                <w:bCs/>
                <w:sz w:val="24"/>
                <w:szCs w:val="24"/>
                <w:highlight w:val="none"/>
                <w:vertAlign w:val="baseline"/>
                <w:lang w:val="en-US" w:eastAsia="zh-CN"/>
              </w:rPr>
            </w:pPr>
            <w:r>
              <w:rPr>
                <w:rFonts w:hint="default" w:ascii="Times New Roman" w:hAnsi="Times New Roman" w:eastAsia="仿宋_GB2312" w:cs="Times New Roman"/>
                <w:b/>
                <w:bCs/>
                <w:sz w:val="24"/>
                <w:szCs w:val="24"/>
              </w:rPr>
              <w:t>深耕服务提质增效</w:t>
            </w:r>
          </w:p>
        </w:tc>
        <w:tc>
          <w:tcPr>
            <w:tcW w:w="2376" w:type="pct"/>
            <w:vAlign w:val="center"/>
          </w:tcPr>
          <w:p w14:paraId="6316303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启动物业服务团队更换洽谈</w:t>
            </w:r>
          </w:p>
        </w:tc>
        <w:tc>
          <w:tcPr>
            <w:tcW w:w="945" w:type="pct"/>
            <w:vAlign w:val="center"/>
          </w:tcPr>
          <w:p w14:paraId="6F8033A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2026年下半年</w:t>
            </w:r>
          </w:p>
        </w:tc>
        <w:tc>
          <w:tcPr>
            <w:tcW w:w="673" w:type="pct"/>
            <w:vAlign w:val="center"/>
          </w:tcPr>
          <w:p w14:paraId="78840E2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资产管理公司</w:t>
            </w:r>
          </w:p>
          <w:p w14:paraId="11E2BFC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p w14:paraId="6498A52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交投物业公司</w:t>
            </w:r>
          </w:p>
        </w:tc>
      </w:tr>
      <w:tr w14:paraId="3C19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1DF332D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2</w:t>
            </w:r>
          </w:p>
        </w:tc>
        <w:tc>
          <w:tcPr>
            <w:tcW w:w="665" w:type="pct"/>
            <w:vMerge w:val="continue"/>
            <w:vAlign w:val="center"/>
          </w:tcPr>
          <w:p w14:paraId="30AE1D7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5F1B8A6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签订新一期物业服务合同</w:t>
            </w:r>
          </w:p>
        </w:tc>
        <w:tc>
          <w:tcPr>
            <w:tcW w:w="945" w:type="pct"/>
            <w:vAlign w:val="center"/>
          </w:tcPr>
          <w:p w14:paraId="1B509A2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2027年初</w:t>
            </w:r>
          </w:p>
        </w:tc>
        <w:tc>
          <w:tcPr>
            <w:tcW w:w="673" w:type="pct"/>
            <w:vAlign w:val="center"/>
          </w:tcPr>
          <w:p w14:paraId="42467B9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p w14:paraId="3FAC602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交投物业公司</w:t>
            </w:r>
          </w:p>
        </w:tc>
      </w:tr>
      <w:tr w14:paraId="1818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498D387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3</w:t>
            </w:r>
          </w:p>
        </w:tc>
        <w:tc>
          <w:tcPr>
            <w:tcW w:w="665" w:type="pct"/>
            <w:vMerge w:val="continue"/>
            <w:vAlign w:val="center"/>
          </w:tcPr>
          <w:p w14:paraId="09F5C5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7AF8888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全面提升物业服务品质</w:t>
            </w:r>
          </w:p>
        </w:tc>
        <w:tc>
          <w:tcPr>
            <w:tcW w:w="945" w:type="pct"/>
            <w:vAlign w:val="center"/>
          </w:tcPr>
          <w:p w14:paraId="297F61D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常态化推进</w:t>
            </w:r>
          </w:p>
        </w:tc>
        <w:tc>
          <w:tcPr>
            <w:tcW w:w="673" w:type="pct"/>
            <w:vAlign w:val="center"/>
          </w:tcPr>
          <w:p w14:paraId="0E8643E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交投物业公司</w:t>
            </w:r>
          </w:p>
        </w:tc>
      </w:tr>
      <w:tr w14:paraId="569D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04828CC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4</w:t>
            </w:r>
          </w:p>
        </w:tc>
        <w:tc>
          <w:tcPr>
            <w:tcW w:w="665" w:type="pct"/>
            <w:vMerge w:val="continue"/>
            <w:vAlign w:val="center"/>
          </w:tcPr>
          <w:p w14:paraId="1390118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1916873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rPr>
            </w:pPr>
            <w:r>
              <w:rPr>
                <w:rFonts w:hint="default" w:ascii="Times New Roman" w:hAnsi="Times New Roman" w:eastAsia="仿宋_GB2312" w:cs="Times New Roman"/>
                <w:i w:val="0"/>
                <w:iCs w:val="0"/>
                <w:caps w:val="0"/>
                <w:color w:val="0F1115"/>
                <w:spacing w:val="0"/>
                <w:sz w:val="24"/>
                <w:szCs w:val="24"/>
                <w:shd w:val="clear" w:fill="FFFFFF"/>
              </w:rPr>
              <w:t>完成一站式惠企服务标准体系建设，</w:t>
            </w:r>
          </w:p>
          <w:p w14:paraId="06DE8B3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通过杭州市标准化试点验收</w:t>
            </w:r>
          </w:p>
        </w:tc>
        <w:tc>
          <w:tcPr>
            <w:tcW w:w="945" w:type="pct"/>
            <w:vAlign w:val="center"/>
          </w:tcPr>
          <w:p w14:paraId="7A3D6A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2027年</w:t>
            </w:r>
          </w:p>
        </w:tc>
        <w:tc>
          <w:tcPr>
            <w:tcW w:w="673" w:type="pct"/>
            <w:vAlign w:val="center"/>
          </w:tcPr>
          <w:p w14:paraId="6483129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资产管理公司</w:t>
            </w:r>
          </w:p>
          <w:p w14:paraId="429B4BD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79FC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7DD7502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5</w:t>
            </w:r>
          </w:p>
        </w:tc>
        <w:tc>
          <w:tcPr>
            <w:tcW w:w="665" w:type="pct"/>
            <w:vMerge w:val="continue"/>
            <w:vAlign w:val="center"/>
          </w:tcPr>
          <w:p w14:paraId="67C6E01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70DF859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完成ISO管理体系认证</w:t>
            </w:r>
          </w:p>
        </w:tc>
        <w:tc>
          <w:tcPr>
            <w:tcW w:w="945" w:type="pct"/>
            <w:vAlign w:val="center"/>
          </w:tcPr>
          <w:p w14:paraId="5A62B16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2027年</w:t>
            </w:r>
          </w:p>
        </w:tc>
        <w:tc>
          <w:tcPr>
            <w:tcW w:w="673" w:type="pct"/>
            <w:vAlign w:val="center"/>
          </w:tcPr>
          <w:p w14:paraId="3A178FE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资产管理公司</w:t>
            </w:r>
          </w:p>
          <w:p w14:paraId="47D204F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6AF1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04EB903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6</w:t>
            </w:r>
          </w:p>
        </w:tc>
        <w:tc>
          <w:tcPr>
            <w:tcW w:w="665" w:type="pct"/>
            <w:vMerge w:val="continue"/>
            <w:vAlign w:val="center"/>
          </w:tcPr>
          <w:p w14:paraId="69E0128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1447602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对接企业需求</w:t>
            </w:r>
            <w:r>
              <w:rPr>
                <w:rFonts w:hint="default" w:ascii="Times New Roman" w:hAnsi="Times New Roman" w:eastAsia="仿宋_GB2312" w:cs="Times New Roman"/>
                <w:i w:val="0"/>
                <w:iCs w:val="0"/>
                <w:caps w:val="0"/>
                <w:color w:val="0F1115"/>
                <w:spacing w:val="0"/>
                <w:sz w:val="24"/>
                <w:szCs w:val="24"/>
                <w:shd w:val="clear" w:fill="FFFFFF"/>
                <w:lang w:eastAsia="zh-CN"/>
              </w:rPr>
              <w:t>，</w:t>
            </w:r>
            <w:r>
              <w:rPr>
                <w:rFonts w:hint="default" w:ascii="Times New Roman" w:hAnsi="Times New Roman" w:eastAsia="仿宋_GB2312" w:cs="Times New Roman"/>
                <w:i w:val="0"/>
                <w:iCs w:val="0"/>
                <w:caps w:val="0"/>
                <w:color w:val="0F1115"/>
                <w:spacing w:val="0"/>
                <w:sz w:val="24"/>
                <w:szCs w:val="24"/>
                <w:shd w:val="clear" w:fill="FFFFFF"/>
              </w:rPr>
              <w:t>力争园区整体出租率稳定在92%及以上</w:t>
            </w:r>
          </w:p>
        </w:tc>
        <w:tc>
          <w:tcPr>
            <w:tcW w:w="945" w:type="pct"/>
            <w:vAlign w:val="center"/>
          </w:tcPr>
          <w:p w14:paraId="438D3D1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常态化推进</w:t>
            </w:r>
            <w:r>
              <w:rPr>
                <w:rFonts w:hint="default" w:ascii="Times New Roman" w:hAnsi="Times New Roman" w:eastAsia="仿宋_GB2312" w:cs="Times New Roman"/>
                <w:i w:val="0"/>
                <w:iCs w:val="0"/>
                <w:caps w:val="0"/>
                <w:color w:val="0F1115"/>
                <w:spacing w:val="0"/>
                <w:sz w:val="24"/>
                <w:szCs w:val="24"/>
                <w:shd w:val="clear" w:fill="FFFFFF"/>
                <w:lang w:eastAsia="zh-CN"/>
              </w:rPr>
              <w:t>，</w:t>
            </w:r>
            <w:r>
              <w:rPr>
                <w:rFonts w:hint="default" w:ascii="Times New Roman" w:hAnsi="Times New Roman" w:eastAsia="仿宋_GB2312" w:cs="Times New Roman"/>
                <w:i w:val="0"/>
                <w:iCs w:val="0"/>
                <w:caps w:val="0"/>
                <w:color w:val="0F1115"/>
                <w:spacing w:val="0"/>
                <w:sz w:val="24"/>
                <w:szCs w:val="24"/>
                <w:shd w:val="clear" w:fill="FFFFFF"/>
              </w:rPr>
              <w:t>2028年末完成</w:t>
            </w:r>
            <w:r>
              <w:rPr>
                <w:rFonts w:hint="eastAsia" w:ascii="Times New Roman" w:hAnsi="Times New Roman" w:eastAsia="仿宋_GB2312" w:cs="Times New Roman"/>
                <w:i w:val="0"/>
                <w:iCs w:val="0"/>
                <w:caps w:val="0"/>
                <w:color w:val="0F1115"/>
                <w:spacing w:val="0"/>
                <w:sz w:val="24"/>
                <w:szCs w:val="24"/>
                <w:shd w:val="clear" w:fill="FFFFFF"/>
                <w:lang w:val="en-US" w:eastAsia="zh-CN"/>
              </w:rPr>
              <w:t>出租率</w:t>
            </w:r>
            <w:r>
              <w:rPr>
                <w:rFonts w:hint="default" w:ascii="Times New Roman" w:hAnsi="Times New Roman" w:eastAsia="仿宋_GB2312" w:cs="Times New Roman"/>
                <w:i w:val="0"/>
                <w:iCs w:val="0"/>
                <w:caps w:val="0"/>
                <w:color w:val="0F1115"/>
                <w:spacing w:val="0"/>
                <w:sz w:val="24"/>
                <w:szCs w:val="24"/>
                <w:shd w:val="clear" w:fill="FFFFFF"/>
              </w:rPr>
              <w:t>目标</w:t>
            </w:r>
          </w:p>
        </w:tc>
        <w:tc>
          <w:tcPr>
            <w:tcW w:w="673" w:type="pct"/>
            <w:vAlign w:val="center"/>
          </w:tcPr>
          <w:p w14:paraId="06AE167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7289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69E7DB7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7</w:t>
            </w:r>
          </w:p>
        </w:tc>
        <w:tc>
          <w:tcPr>
            <w:tcW w:w="665" w:type="pct"/>
            <w:vMerge w:val="restart"/>
            <w:vAlign w:val="center"/>
          </w:tcPr>
          <w:p w14:paraId="7D19FE2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r>
              <w:rPr>
                <w:rFonts w:hint="default" w:ascii="Times New Roman" w:hAnsi="Times New Roman" w:eastAsia="仿宋_GB2312" w:cs="Times New Roman"/>
                <w:b/>
                <w:bCs/>
                <w:sz w:val="24"/>
                <w:szCs w:val="24"/>
              </w:rPr>
              <w:t>强化科技数字赋能</w:t>
            </w:r>
          </w:p>
        </w:tc>
        <w:tc>
          <w:tcPr>
            <w:tcW w:w="2376" w:type="pct"/>
            <w:vAlign w:val="center"/>
          </w:tcPr>
          <w:p w14:paraId="0652F36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建成园区智慧运</w:t>
            </w:r>
            <w:r>
              <w:rPr>
                <w:rFonts w:hint="eastAsia" w:ascii="仿宋_GB2312" w:hAnsi="仿宋_GB2312" w:eastAsia="仿宋_GB2312" w:cs="仿宋_GB2312"/>
                <w:i w:val="0"/>
                <w:iCs w:val="0"/>
                <w:caps w:val="0"/>
                <w:color w:val="0F1115"/>
                <w:spacing w:val="0"/>
                <w:sz w:val="24"/>
                <w:szCs w:val="24"/>
                <w:shd w:val="clear" w:fill="FFFFFF"/>
              </w:rPr>
              <w:t>营“驾驶舱”并</w:t>
            </w:r>
            <w:r>
              <w:rPr>
                <w:rFonts w:hint="default" w:ascii="Times New Roman" w:hAnsi="Times New Roman" w:eastAsia="仿宋_GB2312" w:cs="Times New Roman"/>
                <w:i w:val="0"/>
                <w:iCs w:val="0"/>
                <w:caps w:val="0"/>
                <w:color w:val="0F1115"/>
                <w:spacing w:val="0"/>
                <w:sz w:val="24"/>
                <w:szCs w:val="24"/>
                <w:shd w:val="clear" w:fill="FFFFFF"/>
              </w:rPr>
              <w:t>投入运行</w:t>
            </w:r>
          </w:p>
        </w:tc>
        <w:tc>
          <w:tcPr>
            <w:tcW w:w="945" w:type="pct"/>
            <w:vAlign w:val="center"/>
          </w:tcPr>
          <w:p w14:paraId="521C2E2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2028年</w:t>
            </w:r>
          </w:p>
        </w:tc>
        <w:tc>
          <w:tcPr>
            <w:tcW w:w="673" w:type="pct"/>
            <w:vAlign w:val="center"/>
          </w:tcPr>
          <w:p w14:paraId="739A6B1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711C5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5341050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8</w:t>
            </w:r>
          </w:p>
        </w:tc>
        <w:tc>
          <w:tcPr>
            <w:tcW w:w="665" w:type="pct"/>
            <w:vMerge w:val="continue"/>
            <w:vAlign w:val="center"/>
          </w:tcPr>
          <w:p w14:paraId="1359DB5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4E49AEE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投用</w:t>
            </w:r>
            <w:r>
              <w:rPr>
                <w:rFonts w:hint="eastAsia" w:ascii="Times New Roman" w:hAnsi="Times New Roman" w:eastAsia="仿宋_GB2312" w:cs="Times New Roman"/>
                <w:i w:val="0"/>
                <w:iCs w:val="0"/>
                <w:caps w:val="0"/>
                <w:color w:val="0F1115"/>
                <w:spacing w:val="0"/>
                <w:sz w:val="24"/>
                <w:szCs w:val="24"/>
                <w:shd w:val="clear" w:fill="FFFFFF"/>
                <w:lang w:val="en-US" w:eastAsia="zh-CN"/>
              </w:rPr>
              <w:t>1台</w:t>
            </w:r>
            <w:r>
              <w:rPr>
                <w:rFonts w:hint="default" w:ascii="Times New Roman" w:hAnsi="Times New Roman" w:eastAsia="仿宋_GB2312" w:cs="Times New Roman"/>
                <w:i w:val="0"/>
                <w:iCs w:val="0"/>
                <w:caps w:val="0"/>
                <w:color w:val="0F1115"/>
                <w:spacing w:val="0"/>
                <w:sz w:val="24"/>
                <w:szCs w:val="24"/>
                <w:shd w:val="clear" w:fill="FFFFFF"/>
              </w:rPr>
              <w:t>无人清扫车</w:t>
            </w:r>
          </w:p>
        </w:tc>
        <w:tc>
          <w:tcPr>
            <w:tcW w:w="945" w:type="pct"/>
            <w:vAlign w:val="center"/>
          </w:tcPr>
          <w:p w14:paraId="2511861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2027年</w:t>
            </w:r>
          </w:p>
        </w:tc>
        <w:tc>
          <w:tcPr>
            <w:tcW w:w="673" w:type="pct"/>
            <w:vAlign w:val="center"/>
          </w:tcPr>
          <w:p w14:paraId="7F2D7E1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6A7A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1DD65CD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9</w:t>
            </w:r>
          </w:p>
        </w:tc>
        <w:tc>
          <w:tcPr>
            <w:tcW w:w="665" w:type="pct"/>
            <w:vMerge w:val="continue"/>
            <w:vAlign w:val="center"/>
          </w:tcPr>
          <w:p w14:paraId="16FD796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27EB0BF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试行无人驾驶接驳车</w:t>
            </w:r>
          </w:p>
        </w:tc>
        <w:tc>
          <w:tcPr>
            <w:tcW w:w="945" w:type="pct"/>
            <w:vAlign w:val="center"/>
          </w:tcPr>
          <w:p w14:paraId="051BCC8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2028年</w:t>
            </w:r>
          </w:p>
        </w:tc>
        <w:tc>
          <w:tcPr>
            <w:tcW w:w="673" w:type="pct"/>
            <w:vAlign w:val="center"/>
          </w:tcPr>
          <w:p w14:paraId="2625C13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2CF7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21CEABF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10</w:t>
            </w:r>
          </w:p>
        </w:tc>
        <w:tc>
          <w:tcPr>
            <w:tcW w:w="665" w:type="pct"/>
            <w:vMerge w:val="continue"/>
            <w:vAlign w:val="center"/>
          </w:tcPr>
          <w:p w14:paraId="21825C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7683E2E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落地</w:t>
            </w:r>
            <w:r>
              <w:rPr>
                <w:rFonts w:hint="eastAsia" w:ascii="Times New Roman" w:hAnsi="Times New Roman" w:eastAsia="仿宋_GB2312" w:cs="Times New Roman"/>
                <w:i w:val="0"/>
                <w:iCs w:val="0"/>
                <w:caps w:val="0"/>
                <w:color w:val="0F1115"/>
                <w:spacing w:val="0"/>
                <w:sz w:val="24"/>
                <w:szCs w:val="24"/>
                <w:shd w:val="clear" w:fill="FFFFFF"/>
                <w:lang w:val="en-US" w:eastAsia="zh-CN"/>
              </w:rPr>
              <w:t>1个</w:t>
            </w:r>
            <w:r>
              <w:rPr>
                <w:rFonts w:hint="default" w:ascii="Times New Roman" w:hAnsi="Times New Roman" w:eastAsia="仿宋_GB2312" w:cs="Times New Roman"/>
                <w:i w:val="0"/>
                <w:iCs w:val="0"/>
                <w:caps w:val="0"/>
                <w:color w:val="0F1115"/>
                <w:spacing w:val="0"/>
                <w:sz w:val="24"/>
                <w:szCs w:val="24"/>
                <w:shd w:val="clear" w:fill="FFFFFF"/>
              </w:rPr>
              <w:t>创新应用场景</w:t>
            </w:r>
          </w:p>
        </w:tc>
        <w:tc>
          <w:tcPr>
            <w:tcW w:w="945" w:type="pct"/>
            <w:vAlign w:val="center"/>
          </w:tcPr>
          <w:p w14:paraId="41D820E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2028年</w:t>
            </w:r>
          </w:p>
        </w:tc>
        <w:tc>
          <w:tcPr>
            <w:tcW w:w="673" w:type="pct"/>
            <w:vAlign w:val="center"/>
          </w:tcPr>
          <w:p w14:paraId="4CDA8BA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73E7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7C4AFAF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11</w:t>
            </w:r>
          </w:p>
        </w:tc>
        <w:tc>
          <w:tcPr>
            <w:tcW w:w="665" w:type="pct"/>
            <w:vMerge w:val="continue"/>
            <w:vAlign w:val="center"/>
          </w:tcPr>
          <w:p w14:paraId="5365626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598DB75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落地</w:t>
            </w:r>
            <w:r>
              <w:rPr>
                <w:rFonts w:hint="eastAsia" w:ascii="仿宋_GB2312" w:hAnsi="仿宋_GB2312" w:eastAsia="仿宋_GB2312" w:cs="仿宋_GB2312"/>
                <w:i w:val="0"/>
                <w:iCs w:val="0"/>
                <w:caps w:val="0"/>
                <w:color w:val="0F1115"/>
                <w:spacing w:val="0"/>
                <w:sz w:val="24"/>
                <w:szCs w:val="24"/>
                <w:shd w:val="clear" w:fill="FFFFFF"/>
              </w:rPr>
              <w:t>“</w:t>
            </w:r>
            <w:r>
              <w:rPr>
                <w:rFonts w:hint="default" w:ascii="Times New Roman" w:hAnsi="Times New Roman" w:eastAsia="仿宋_GB2312" w:cs="Times New Roman"/>
                <w:i w:val="0"/>
                <w:iCs w:val="0"/>
                <w:caps w:val="0"/>
                <w:color w:val="0F1115"/>
                <w:spacing w:val="0"/>
                <w:sz w:val="24"/>
                <w:szCs w:val="24"/>
                <w:shd w:val="clear" w:fill="FFFFFF"/>
              </w:rPr>
              <w:t>AI哨兵</w:t>
            </w:r>
            <w:r>
              <w:rPr>
                <w:rFonts w:hint="eastAsia" w:ascii="仿宋_GB2312" w:hAnsi="仿宋_GB2312" w:eastAsia="仿宋_GB2312" w:cs="仿宋_GB2312"/>
                <w:i w:val="0"/>
                <w:iCs w:val="0"/>
                <w:caps w:val="0"/>
                <w:color w:val="0F1115"/>
                <w:spacing w:val="0"/>
                <w:sz w:val="24"/>
                <w:szCs w:val="24"/>
                <w:shd w:val="clear" w:fill="FFFFFF"/>
              </w:rPr>
              <w:t>”</w:t>
            </w:r>
          </w:p>
        </w:tc>
        <w:tc>
          <w:tcPr>
            <w:tcW w:w="945" w:type="pct"/>
            <w:vAlign w:val="center"/>
          </w:tcPr>
          <w:p w14:paraId="4FACEBB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2026年底前</w:t>
            </w:r>
          </w:p>
        </w:tc>
        <w:tc>
          <w:tcPr>
            <w:tcW w:w="673" w:type="pct"/>
            <w:vAlign w:val="center"/>
          </w:tcPr>
          <w:p w14:paraId="0880605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65A9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2EF3A4F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12</w:t>
            </w:r>
          </w:p>
        </w:tc>
        <w:tc>
          <w:tcPr>
            <w:tcW w:w="665" w:type="pct"/>
            <w:vMerge w:val="continue"/>
            <w:vAlign w:val="center"/>
          </w:tcPr>
          <w:p w14:paraId="3B15338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553A5F4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开展产业招引、培育、协同赋能工作</w:t>
            </w:r>
          </w:p>
        </w:tc>
        <w:tc>
          <w:tcPr>
            <w:tcW w:w="945" w:type="pct"/>
            <w:vAlign w:val="center"/>
          </w:tcPr>
          <w:p w14:paraId="4AD6B3F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常态化推进</w:t>
            </w:r>
          </w:p>
        </w:tc>
        <w:tc>
          <w:tcPr>
            <w:tcW w:w="673" w:type="pct"/>
            <w:vAlign w:val="center"/>
          </w:tcPr>
          <w:p w14:paraId="756E6A6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705E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69A0B71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13</w:t>
            </w:r>
          </w:p>
        </w:tc>
        <w:tc>
          <w:tcPr>
            <w:tcW w:w="665" w:type="pct"/>
            <w:vMerge w:val="continue"/>
            <w:vAlign w:val="center"/>
          </w:tcPr>
          <w:p w14:paraId="69D9CC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4945AE0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完成省级科技企业孵化器申报认定</w:t>
            </w:r>
          </w:p>
        </w:tc>
        <w:tc>
          <w:tcPr>
            <w:tcW w:w="945" w:type="pct"/>
            <w:vAlign w:val="center"/>
          </w:tcPr>
          <w:p w14:paraId="4B32479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iCs w:val="0"/>
                <w:caps w:val="0"/>
                <w:color w:val="0F1115"/>
                <w:spacing w:val="0"/>
                <w:sz w:val="24"/>
                <w:szCs w:val="24"/>
                <w:shd w:val="clear" w:fill="FFFFFF"/>
              </w:rPr>
              <w:t>2028年</w:t>
            </w:r>
          </w:p>
        </w:tc>
        <w:tc>
          <w:tcPr>
            <w:tcW w:w="673" w:type="pct"/>
            <w:vAlign w:val="center"/>
          </w:tcPr>
          <w:p w14:paraId="4A96AEB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58F7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1CD6A44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14</w:t>
            </w:r>
          </w:p>
        </w:tc>
        <w:tc>
          <w:tcPr>
            <w:tcW w:w="665" w:type="pct"/>
            <w:vMerge w:val="continue"/>
            <w:vAlign w:val="center"/>
          </w:tcPr>
          <w:p w14:paraId="60D2485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4265AB4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rPr>
            </w:pPr>
            <w:r>
              <w:rPr>
                <w:rFonts w:hint="default" w:ascii="Times New Roman" w:hAnsi="Times New Roman" w:eastAsia="仿宋_GB2312" w:cs="Times New Roman"/>
                <w:i w:val="0"/>
                <w:iCs w:val="0"/>
                <w:caps w:val="0"/>
                <w:color w:val="0F1115"/>
                <w:spacing w:val="0"/>
                <w:sz w:val="24"/>
                <w:szCs w:val="24"/>
                <w:shd w:val="clear" w:fill="FFFFFF"/>
              </w:rPr>
              <w:t>科技类企业占入驻企业比重超过70%</w:t>
            </w:r>
          </w:p>
        </w:tc>
        <w:tc>
          <w:tcPr>
            <w:tcW w:w="945" w:type="pct"/>
            <w:vAlign w:val="center"/>
          </w:tcPr>
          <w:p w14:paraId="044B5E6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rPr>
            </w:pPr>
            <w:r>
              <w:rPr>
                <w:rFonts w:hint="default" w:ascii="Times New Roman" w:hAnsi="Times New Roman" w:eastAsia="仿宋_GB2312" w:cs="Times New Roman"/>
                <w:i w:val="0"/>
                <w:iCs w:val="0"/>
                <w:caps w:val="0"/>
                <w:color w:val="0F1115"/>
                <w:spacing w:val="0"/>
                <w:sz w:val="24"/>
                <w:szCs w:val="24"/>
                <w:shd w:val="clear" w:fill="FFFFFF"/>
              </w:rPr>
              <w:t>2027年</w:t>
            </w:r>
          </w:p>
        </w:tc>
        <w:tc>
          <w:tcPr>
            <w:tcW w:w="673" w:type="pct"/>
            <w:vAlign w:val="center"/>
          </w:tcPr>
          <w:p w14:paraId="5634EE2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45A6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512F7A9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15</w:t>
            </w:r>
          </w:p>
        </w:tc>
        <w:tc>
          <w:tcPr>
            <w:tcW w:w="665" w:type="pct"/>
            <w:vMerge w:val="continue"/>
            <w:vAlign w:val="center"/>
          </w:tcPr>
          <w:p w14:paraId="5ACB3D2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67F904E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rPr>
            </w:pPr>
            <w:r>
              <w:rPr>
                <w:rFonts w:hint="default" w:ascii="Times New Roman" w:hAnsi="Times New Roman" w:eastAsia="仿宋_GB2312" w:cs="Times New Roman"/>
                <w:i w:val="0"/>
                <w:iCs w:val="0"/>
                <w:caps w:val="0"/>
                <w:color w:val="0F1115"/>
                <w:spacing w:val="0"/>
                <w:sz w:val="24"/>
                <w:szCs w:val="24"/>
                <w:shd w:val="clear" w:fill="FFFFFF"/>
              </w:rPr>
              <w:t>谋划落地</w:t>
            </w:r>
            <w:r>
              <w:rPr>
                <w:rFonts w:hint="eastAsia" w:ascii="Times New Roman" w:hAnsi="Times New Roman" w:eastAsia="仿宋_GB2312" w:cs="Times New Roman"/>
                <w:i w:val="0"/>
                <w:iCs w:val="0"/>
                <w:caps w:val="0"/>
                <w:color w:val="0F1115"/>
                <w:spacing w:val="0"/>
                <w:sz w:val="24"/>
                <w:szCs w:val="24"/>
                <w:shd w:val="clear" w:fill="FFFFFF"/>
                <w:lang w:val="en-US" w:eastAsia="zh-CN"/>
              </w:rPr>
              <w:t>1个</w:t>
            </w:r>
            <w:r>
              <w:rPr>
                <w:rFonts w:hint="default" w:ascii="Times New Roman" w:hAnsi="Times New Roman" w:eastAsia="仿宋_GB2312" w:cs="Times New Roman"/>
                <w:i w:val="0"/>
                <w:iCs w:val="0"/>
                <w:caps w:val="0"/>
                <w:color w:val="0F1115"/>
                <w:spacing w:val="0"/>
                <w:sz w:val="24"/>
                <w:szCs w:val="24"/>
                <w:shd w:val="clear" w:fill="FFFFFF"/>
              </w:rPr>
              <w:t>创新研究院或联合实验室</w:t>
            </w:r>
          </w:p>
        </w:tc>
        <w:tc>
          <w:tcPr>
            <w:tcW w:w="945" w:type="pct"/>
            <w:vAlign w:val="center"/>
          </w:tcPr>
          <w:p w14:paraId="671C2AC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rPr>
            </w:pPr>
            <w:r>
              <w:rPr>
                <w:rFonts w:hint="default" w:ascii="Times New Roman" w:hAnsi="Times New Roman" w:eastAsia="仿宋_GB2312" w:cs="Times New Roman"/>
                <w:i w:val="0"/>
                <w:iCs w:val="0"/>
                <w:caps w:val="0"/>
                <w:color w:val="0F1115"/>
                <w:spacing w:val="0"/>
                <w:sz w:val="24"/>
                <w:szCs w:val="24"/>
                <w:shd w:val="clear" w:fill="FFFFFF"/>
              </w:rPr>
              <w:t>2028年</w:t>
            </w:r>
          </w:p>
        </w:tc>
        <w:tc>
          <w:tcPr>
            <w:tcW w:w="673" w:type="pct"/>
            <w:vAlign w:val="center"/>
          </w:tcPr>
          <w:p w14:paraId="782DB01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资产管理公司</w:t>
            </w:r>
          </w:p>
          <w:p w14:paraId="186AEEC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34B0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43634F3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16</w:t>
            </w:r>
          </w:p>
        </w:tc>
        <w:tc>
          <w:tcPr>
            <w:tcW w:w="665" w:type="pct"/>
            <w:vMerge w:val="restart"/>
            <w:vAlign w:val="center"/>
          </w:tcPr>
          <w:p w14:paraId="191934D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r>
              <w:rPr>
                <w:rFonts w:hint="default" w:ascii="Times New Roman" w:hAnsi="Times New Roman" w:eastAsia="仿宋_GB2312" w:cs="Times New Roman"/>
                <w:b/>
                <w:bCs/>
                <w:sz w:val="24"/>
                <w:szCs w:val="24"/>
              </w:rPr>
              <w:t>打造特色品牌标杆</w:t>
            </w:r>
          </w:p>
        </w:tc>
        <w:tc>
          <w:tcPr>
            <w:tcW w:w="2376" w:type="pct"/>
            <w:vAlign w:val="center"/>
          </w:tcPr>
          <w:p w14:paraId="1224976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rPr>
            </w:pPr>
            <w:r>
              <w:rPr>
                <w:rFonts w:hint="default" w:ascii="Times New Roman" w:hAnsi="Times New Roman" w:eastAsia="仿宋_GB2312" w:cs="Times New Roman"/>
                <w:i w:val="0"/>
                <w:iCs w:val="0"/>
                <w:caps w:val="0"/>
                <w:color w:val="0F1115"/>
                <w:spacing w:val="0"/>
                <w:sz w:val="24"/>
                <w:szCs w:val="24"/>
                <w:shd w:val="clear" w:fill="FFFFFF"/>
              </w:rPr>
              <w:t>完成品牌体系梳理、典型案例汇编及品牌故事提炼</w:t>
            </w:r>
          </w:p>
        </w:tc>
        <w:tc>
          <w:tcPr>
            <w:tcW w:w="945" w:type="pct"/>
            <w:vAlign w:val="center"/>
          </w:tcPr>
          <w:p w14:paraId="505700D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rPr>
            </w:pPr>
            <w:r>
              <w:rPr>
                <w:rFonts w:hint="default" w:ascii="Times New Roman" w:hAnsi="Times New Roman" w:eastAsia="仿宋_GB2312" w:cs="Times New Roman"/>
                <w:i w:val="0"/>
                <w:iCs w:val="0"/>
                <w:caps w:val="0"/>
                <w:color w:val="0F1115"/>
                <w:spacing w:val="0"/>
                <w:sz w:val="24"/>
                <w:szCs w:val="24"/>
                <w:shd w:val="clear" w:fill="FFFFFF"/>
              </w:rPr>
              <w:t>2026年底前</w:t>
            </w:r>
          </w:p>
        </w:tc>
        <w:tc>
          <w:tcPr>
            <w:tcW w:w="673" w:type="pct"/>
            <w:vAlign w:val="center"/>
          </w:tcPr>
          <w:p w14:paraId="5B60B20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3F908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597635E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17</w:t>
            </w:r>
          </w:p>
        </w:tc>
        <w:tc>
          <w:tcPr>
            <w:tcW w:w="665" w:type="pct"/>
            <w:vMerge w:val="continue"/>
            <w:vAlign w:val="center"/>
          </w:tcPr>
          <w:p w14:paraId="3469403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1423910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rPr>
            </w:pPr>
            <w:r>
              <w:rPr>
                <w:rFonts w:hint="default" w:ascii="Times New Roman" w:hAnsi="Times New Roman" w:eastAsia="仿宋_GB2312" w:cs="Times New Roman"/>
                <w:i w:val="0"/>
                <w:iCs w:val="0"/>
                <w:caps w:val="0"/>
                <w:color w:val="0F1115"/>
                <w:spacing w:val="0"/>
                <w:sz w:val="24"/>
                <w:szCs w:val="24"/>
                <w:shd w:val="clear" w:fill="FFFFFF"/>
                <w:lang w:val="en-US" w:eastAsia="zh-CN"/>
              </w:rPr>
              <w:t>开展</w:t>
            </w:r>
            <w:r>
              <w:rPr>
                <w:rFonts w:hint="default" w:ascii="Times New Roman" w:hAnsi="Times New Roman" w:eastAsia="仿宋_GB2312" w:cs="Times New Roman"/>
                <w:i w:val="0"/>
                <w:iCs w:val="0"/>
                <w:caps w:val="0"/>
                <w:color w:val="0F1115"/>
                <w:spacing w:val="0"/>
                <w:sz w:val="24"/>
                <w:szCs w:val="24"/>
                <w:shd w:val="clear" w:fill="FFFFFF"/>
              </w:rPr>
              <w:t>品牌宣传</w:t>
            </w:r>
          </w:p>
        </w:tc>
        <w:tc>
          <w:tcPr>
            <w:tcW w:w="945" w:type="pct"/>
            <w:vAlign w:val="center"/>
          </w:tcPr>
          <w:p w14:paraId="2B02273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rPr>
            </w:pPr>
            <w:r>
              <w:rPr>
                <w:rFonts w:hint="default" w:ascii="Times New Roman" w:hAnsi="Times New Roman" w:eastAsia="仿宋_GB2312" w:cs="Times New Roman"/>
                <w:i w:val="0"/>
                <w:iCs w:val="0"/>
                <w:caps w:val="0"/>
                <w:color w:val="0F1115"/>
                <w:spacing w:val="0"/>
                <w:sz w:val="24"/>
                <w:szCs w:val="24"/>
                <w:shd w:val="clear" w:fill="FFFFFF"/>
              </w:rPr>
              <w:t>常态化推进</w:t>
            </w:r>
          </w:p>
        </w:tc>
        <w:tc>
          <w:tcPr>
            <w:tcW w:w="673" w:type="pct"/>
            <w:vAlign w:val="center"/>
          </w:tcPr>
          <w:p w14:paraId="2D706DB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r w14:paraId="7A19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38" w:type="pct"/>
            <w:vAlign w:val="center"/>
          </w:tcPr>
          <w:p w14:paraId="64C75AE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18</w:t>
            </w:r>
          </w:p>
        </w:tc>
        <w:tc>
          <w:tcPr>
            <w:tcW w:w="665" w:type="pct"/>
            <w:vMerge w:val="continue"/>
            <w:vAlign w:val="center"/>
          </w:tcPr>
          <w:p w14:paraId="24AAEBD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b/>
                <w:bCs/>
                <w:sz w:val="24"/>
                <w:szCs w:val="24"/>
                <w:highlight w:val="none"/>
                <w:vertAlign w:val="baseline"/>
                <w:lang w:val="en-US" w:eastAsia="zh-CN"/>
              </w:rPr>
            </w:pPr>
          </w:p>
        </w:tc>
        <w:tc>
          <w:tcPr>
            <w:tcW w:w="2376" w:type="pct"/>
            <w:vAlign w:val="center"/>
          </w:tcPr>
          <w:p w14:paraId="41316D2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rPr>
            </w:pPr>
            <w:r>
              <w:rPr>
                <w:rFonts w:hint="default" w:ascii="Times New Roman" w:hAnsi="Times New Roman" w:eastAsia="仿宋_GB2312" w:cs="Times New Roman"/>
                <w:i w:val="0"/>
                <w:iCs w:val="0"/>
                <w:caps w:val="0"/>
                <w:color w:val="0F1115"/>
                <w:spacing w:val="0"/>
                <w:sz w:val="24"/>
                <w:szCs w:val="24"/>
                <w:shd w:val="clear" w:fill="FFFFFF"/>
              </w:rPr>
              <w:t>储备及拓展轻资产运营项目</w:t>
            </w:r>
          </w:p>
        </w:tc>
        <w:tc>
          <w:tcPr>
            <w:tcW w:w="945" w:type="pct"/>
            <w:vAlign w:val="center"/>
          </w:tcPr>
          <w:p w14:paraId="70AC3FF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lang w:val="en-US" w:eastAsia="zh-CN"/>
              </w:rPr>
            </w:pPr>
            <w:r>
              <w:rPr>
                <w:rFonts w:hint="default" w:ascii="Times New Roman" w:hAnsi="Times New Roman" w:eastAsia="仿宋_GB2312" w:cs="Times New Roman"/>
                <w:i w:val="0"/>
                <w:iCs w:val="0"/>
                <w:caps w:val="0"/>
                <w:color w:val="0F1115"/>
                <w:spacing w:val="0"/>
                <w:sz w:val="24"/>
                <w:szCs w:val="24"/>
                <w:shd w:val="clear" w:fill="FFFFFF"/>
                <w:lang w:val="en-US" w:eastAsia="zh-CN"/>
              </w:rPr>
              <w:t>2027年：储备1个、争取拓展1个</w:t>
            </w:r>
          </w:p>
          <w:p w14:paraId="6D9F854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i w:val="0"/>
                <w:iCs w:val="0"/>
                <w:caps w:val="0"/>
                <w:color w:val="0F1115"/>
                <w:spacing w:val="0"/>
                <w:sz w:val="24"/>
                <w:szCs w:val="24"/>
                <w:shd w:val="clear" w:fill="FFFFFF"/>
                <w:lang w:val="en-US" w:eastAsia="zh-CN"/>
              </w:rPr>
            </w:pPr>
            <w:r>
              <w:rPr>
                <w:rFonts w:hint="default" w:ascii="Times New Roman" w:hAnsi="Times New Roman" w:eastAsia="仿宋_GB2312" w:cs="Times New Roman"/>
                <w:i w:val="0"/>
                <w:iCs w:val="0"/>
                <w:caps w:val="0"/>
                <w:color w:val="0F1115"/>
                <w:spacing w:val="0"/>
                <w:sz w:val="24"/>
                <w:szCs w:val="24"/>
                <w:shd w:val="clear" w:fill="FFFFFF"/>
                <w:lang w:val="en-US" w:eastAsia="zh-CN"/>
              </w:rPr>
              <w:t>2028年：储备2个、争取拓展1个</w:t>
            </w:r>
          </w:p>
        </w:tc>
        <w:tc>
          <w:tcPr>
            <w:tcW w:w="673" w:type="pct"/>
            <w:vAlign w:val="center"/>
          </w:tcPr>
          <w:p w14:paraId="2D05A9C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sz w:val="24"/>
                <w:szCs w:val="24"/>
                <w:highlight w:val="none"/>
                <w:vertAlign w:val="baseline"/>
                <w:lang w:val="en-US" w:eastAsia="zh-CN"/>
              </w:rPr>
              <w:t>交投智慧公司</w:t>
            </w:r>
          </w:p>
        </w:tc>
      </w:tr>
    </w:tbl>
    <w:p w14:paraId="65E87AD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Times New Roman" w:hAnsi="Times New Roman" w:eastAsia="仿宋_GB2312" w:cs="Times New Roman"/>
          <w:sz w:val="32"/>
          <w:szCs w:val="32"/>
          <w:highlight w:val="none"/>
          <w:lang w:val="en-US" w:eastAsia="zh-CN"/>
        </w:rPr>
        <w:sectPr>
          <w:pgSz w:w="16838" w:h="11906" w:orient="landscape"/>
          <w:pgMar w:top="1587" w:right="2098" w:bottom="1474" w:left="1984" w:header="851" w:footer="992" w:gutter="0"/>
          <w:cols w:space="425" w:num="1"/>
          <w:docGrid w:type="lines" w:linePitch="312" w:charSpace="0"/>
        </w:sectPr>
      </w:pPr>
    </w:p>
    <w:p w14:paraId="17998AE5">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附件2：</w:t>
      </w:r>
    </w:p>
    <w:p w14:paraId="56FAF65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highlight w:val="none"/>
          <w:lang w:val="en-US" w:eastAsia="zh-CN"/>
        </w:rPr>
      </w:pPr>
      <w:r>
        <w:rPr>
          <w:rFonts w:hint="eastAsia" w:ascii="小标宋" w:hAnsi="小标宋" w:eastAsia="小标宋" w:cs="小标宋"/>
          <w:sz w:val="44"/>
          <w:szCs w:val="44"/>
          <w:highlight w:val="none"/>
          <w:lang w:val="en-US" w:eastAsia="zh-CN"/>
        </w:rPr>
        <w:t>园区入驻企业情况汇总表</w:t>
      </w:r>
      <w:bookmarkStart w:id="0" w:name="_GoBack"/>
      <w:bookmarkEnd w:id="0"/>
    </w:p>
    <w:p w14:paraId="2EBBCE8A">
      <w:pPr>
        <w:rPr>
          <w:rFonts w:hint="eastAsia"/>
          <w:highlight w:val="none"/>
          <w:lang w:val="en-US" w:eastAsia="zh-CN"/>
        </w:rPr>
      </w:pPr>
    </w:p>
    <w:tbl>
      <w:tblPr>
        <w:tblStyle w:val="5"/>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29"/>
        <w:gridCol w:w="6805"/>
        <w:gridCol w:w="1425"/>
      </w:tblGrid>
      <w:tr w14:paraId="05873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blHeader/>
        </w:trPr>
        <w:tc>
          <w:tcPr>
            <w:tcW w:w="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2C3631">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序号</w:t>
            </w:r>
          </w:p>
        </w:tc>
        <w:tc>
          <w:tcPr>
            <w:tcW w:w="37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E363A8">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承租方</w:t>
            </w:r>
          </w:p>
        </w:tc>
        <w:tc>
          <w:tcPr>
            <w:tcW w:w="7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B10ACF">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属性</w:t>
            </w:r>
          </w:p>
        </w:tc>
      </w:tr>
      <w:tr w14:paraId="6E411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6BF1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46B34">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杭州宇为科技有限公司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5A6F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1FFE3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DE39B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65BF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浙江挚云信息科技有限公司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4FC0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40300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BC7BE">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B559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杭州掌烁信息科技有限公司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2D73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2A0B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DE0C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A2E6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杭州嘉聿科技有限公司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779D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1B72A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967F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2049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杭州星湾医药科技有限公司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A4EB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7E4F0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19BC4">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0F78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杭州聚信医药科技有限公司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9D6A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4E0E5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705B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7</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E18F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浙江泰阳供应链科技有限公司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D03C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5E09F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8126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8</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785A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亚锐（浙江）检测认证技术有限公司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0DE9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698C7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ABD2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9</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E300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杭州飞梦视界科技有限公司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1DE0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11EC2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9DB50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10</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135B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杭州达财科技有限公司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186D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52372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9588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11</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599B9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杭州雷欧数贸科技有限公司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6321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58A5B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3980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12</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52A78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杭州其上健康科技有限公司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B4D6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3E436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4045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13</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0B15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杭州天禧公路养护科技有限公司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F594F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74C9A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8DF84">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14</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2C5A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新疆南北公路养护科技有限公司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2A20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46064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E46C4">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15</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794E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浙江天垂科技有限公司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75C2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0EAB9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F6DC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16</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7A25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新石器慧通（北京）科技有限公司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66BFE">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5626A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0351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17</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E86FE">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浙江宾狗检测科技有限公司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47D4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5D67B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D29E4">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18</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AAD6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中圆生物科技有限公司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FF83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6E6B8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DB27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19</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085A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凡华能源科技（杭州）有限公司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1E8F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3E969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54EA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20</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F3F9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杭州炎夜科技有限公司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46BA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20469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6186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21</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4A80C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比科奇微电子（杭州）有限公司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6CDA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27322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A6DC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22</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E0B6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点击（杭州）控股集团有限公司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37D7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54363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3E63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23</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5CD3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杭州心景科技有限公司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FEB17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1532A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DAD7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24</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DA87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新晔电子（深圳）有限公司上海分公司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7F07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03DC1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675F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25</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C2C0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浙江康诺利生物科技有限公司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79659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130F6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BEDA5">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26</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119E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杭州萃源生物科技有限公司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B002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69731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1C66E">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27</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A9C25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宝博（杭州）数字科技有限公司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7D9F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3FAF5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9A1F4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28</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42E5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云上优品（杭州）健康科技有限公司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E894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2F4AC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CC97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29</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743E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杭州谷阳信息技术有限公司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16C44">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6F771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BE9A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30</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C197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猪事安（杭州）技术服务有限公司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36DE3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4F979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7EB7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31</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07F805">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浙江易达普停科技有限公司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63DE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33F1E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6284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32</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20409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浙江宾狗检测科技有限公司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3BAF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31018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3DC3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33</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8EC5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杭州易方达医学科技有限公司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174A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5643F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0191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34</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A170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杭州科嘉新材料有限公司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F689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69D99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77E9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35</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FB0D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浙江宾狗检测科技有限公司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4174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0DC0B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4F61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36</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3898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杭州双营科技有限公司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8860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459E6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C08D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37</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80EEB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深圳市瑞丰光电子股份有限公司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2C44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667EE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0CF7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38</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1E6F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杭州戎誉科技有限公司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B977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7B7C1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00BC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39</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4BA7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杭州佑知光智能科技有限公司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C08B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6025E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3D60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40</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1405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浙江量枢锐盈信息技术有限公司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845D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16E8E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AF24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41</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5AA0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杭州栎火音乐科技有限公司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24B945">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0AEB5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D8E6D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42</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FDA9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浙江国宇数联科技有限公司杭州分公司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AA254">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1E542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54C0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43</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FE51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杭州卡交会文化科技有限公司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0E2E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1FBE3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D81F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44</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B067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杭州凯羿科技有限公司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769C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53B95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6824A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45</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E5D6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杭州玥琅科技有限公司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A40A3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科技</w:t>
            </w:r>
          </w:p>
        </w:tc>
      </w:tr>
      <w:tr w14:paraId="1197B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3C7D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46</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564AE">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杭州真彩图文制作有限公司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A325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服务</w:t>
            </w:r>
          </w:p>
        </w:tc>
      </w:tr>
      <w:tr w14:paraId="1AAA3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2A2D5">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47</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7D86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杭州秋桂餐饮管理有限公司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6266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服务</w:t>
            </w:r>
          </w:p>
        </w:tc>
      </w:tr>
      <w:tr w14:paraId="7A4C0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A1A8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48</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6A6B2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杭州十足便利店有限公司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A1CF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服务</w:t>
            </w:r>
          </w:p>
        </w:tc>
      </w:tr>
      <w:tr w14:paraId="1BA41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ACA2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49</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A6CE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瑞幸咖啡（杭州）有限公司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C418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服务</w:t>
            </w:r>
          </w:p>
        </w:tc>
      </w:tr>
      <w:tr w14:paraId="11EB0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376D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50</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D4FE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杭州交投机动车辆检测有限公司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2922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服务</w:t>
            </w:r>
          </w:p>
        </w:tc>
      </w:tr>
      <w:tr w14:paraId="2A2AE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B5D3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51</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D999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杭州致物美学设计有限公司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B857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服务</w:t>
            </w:r>
          </w:p>
        </w:tc>
      </w:tr>
      <w:tr w14:paraId="069ED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A38A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52</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E942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杭州泽尔商务信息咨询有限公司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C91F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服务</w:t>
            </w:r>
          </w:p>
        </w:tc>
      </w:tr>
      <w:tr w14:paraId="2DE53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786B5">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53</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C94B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浙江业成装饰工程有限公司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E075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服务</w:t>
            </w:r>
          </w:p>
        </w:tc>
      </w:tr>
      <w:tr w14:paraId="512A1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3A156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54</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0768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杭州中源人力资源有限公司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6294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服务</w:t>
            </w:r>
          </w:p>
        </w:tc>
      </w:tr>
      <w:tr w14:paraId="70CE9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980B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55</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E9E8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杭州交投智慧交通展业发展有限公司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7CBD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服务</w:t>
            </w:r>
          </w:p>
        </w:tc>
      </w:tr>
      <w:tr w14:paraId="75561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B1A94">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56</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07CA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中铁建工集团有限公司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699F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基建</w:t>
            </w:r>
          </w:p>
        </w:tc>
      </w:tr>
      <w:tr w14:paraId="3EDE4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E81B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57</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960F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中国建筑一局（集团）有限公司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DD52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基建</w:t>
            </w:r>
          </w:p>
        </w:tc>
      </w:tr>
      <w:tr w14:paraId="2BC13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83D4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58</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2BC5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杭州交投智科建设发展有限公司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A297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基建</w:t>
            </w:r>
          </w:p>
        </w:tc>
      </w:tr>
      <w:tr w14:paraId="16C7D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482B00">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59</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4620E">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武汉至幸建设工程有限责任公司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0C234">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基建</w:t>
            </w:r>
          </w:p>
        </w:tc>
      </w:tr>
      <w:tr w14:paraId="05EEA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0AF9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60</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D514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中交第一公路勘察设计研究院有限公司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B4C3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基建</w:t>
            </w:r>
          </w:p>
        </w:tc>
      </w:tr>
      <w:tr w14:paraId="66EF1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7AFF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61</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D88C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杭州市交通投资集团有限公司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35DAB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基建</w:t>
            </w:r>
          </w:p>
        </w:tc>
      </w:tr>
      <w:tr w14:paraId="0D403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2F34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62</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E070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杭州机场高铁有限公司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D911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基建</w:t>
            </w:r>
          </w:p>
        </w:tc>
      </w:tr>
      <w:tr w14:paraId="787E5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665E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63</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B12A5">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杭州昂粒文化传播有限公司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1551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文创</w:t>
            </w:r>
          </w:p>
        </w:tc>
      </w:tr>
      <w:tr w14:paraId="45D4A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A9F5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64</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90FB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杭州长毋相忘茶文化有限公司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0097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文创</w:t>
            </w:r>
          </w:p>
        </w:tc>
      </w:tr>
      <w:tr w14:paraId="236EF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06E5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65</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39A1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杭州卡集市文化传播有限公司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FDE604">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文创</w:t>
            </w:r>
          </w:p>
        </w:tc>
      </w:tr>
      <w:tr w14:paraId="5CBC8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234C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66</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295BA">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杭州市滨江区绵慈文化创意工作室（个体工商户）</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3BA32E">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文创</w:t>
            </w:r>
          </w:p>
        </w:tc>
      </w:tr>
      <w:tr w14:paraId="7FBFE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FE127">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67</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3F5D6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杭州奇点造物数字文创有限公司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D1CA4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文创</w:t>
            </w:r>
          </w:p>
        </w:tc>
      </w:tr>
      <w:tr w14:paraId="6D676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9A0F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68</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BC9B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杭州翰宏贸易有限公司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67E3D">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贸易</w:t>
            </w:r>
          </w:p>
        </w:tc>
      </w:tr>
      <w:tr w14:paraId="6889F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8147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69</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7345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杭州谦秀商贸有限公司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D701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贸易</w:t>
            </w:r>
          </w:p>
        </w:tc>
      </w:tr>
      <w:tr w14:paraId="1F3D9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F8443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70</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9293F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杭州希玛士贸易有限公司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6DF91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贸易</w:t>
            </w:r>
          </w:p>
        </w:tc>
      </w:tr>
      <w:tr w14:paraId="4063B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8B19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71</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C69F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杭州翌胜商贸有限公司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7D34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贸易</w:t>
            </w:r>
          </w:p>
        </w:tc>
      </w:tr>
      <w:tr w14:paraId="3BE9A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790C9">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72</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1481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上海排山倒海品牌管理有限公司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95E43">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品牌管理</w:t>
            </w:r>
          </w:p>
        </w:tc>
      </w:tr>
      <w:tr w14:paraId="0CA17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1759F">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73</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12C93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全爱医院管理（杭州）有限公司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421C6">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品牌管理</w:t>
            </w:r>
          </w:p>
        </w:tc>
      </w:tr>
      <w:tr w14:paraId="59F65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EA6B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74</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915F1">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杭州诚和西元投资合伙企业(有限合伙)</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3EFD2">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投资</w:t>
            </w:r>
          </w:p>
        </w:tc>
      </w:tr>
      <w:tr w14:paraId="6D7AA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A8D9C">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75</w:t>
            </w:r>
          </w:p>
        </w:tc>
        <w:tc>
          <w:tcPr>
            <w:tcW w:w="37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8FE8">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浙江明甲能源开发有限公司</w:t>
            </w:r>
          </w:p>
        </w:tc>
        <w:tc>
          <w:tcPr>
            <w:tcW w:w="7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A786B">
            <w:pPr>
              <w:keepNext w:val="0"/>
              <w:keepLines w:val="0"/>
              <w:widowControl/>
              <w:suppressLineNumbers w:val="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生产管理</w:t>
            </w:r>
          </w:p>
        </w:tc>
      </w:tr>
    </w:tbl>
    <w:p w14:paraId="678361B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highlight w:val="none"/>
          <w:lang w:val="en-US" w:eastAsia="zh-CN"/>
        </w:rPr>
      </w:pPr>
    </w:p>
    <w:sectPr>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小标宋">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74AF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D624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3DD624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A529E"/>
    <w:rsid w:val="025F0B06"/>
    <w:rsid w:val="027566B3"/>
    <w:rsid w:val="061B0EDF"/>
    <w:rsid w:val="06565D0B"/>
    <w:rsid w:val="08C96CD9"/>
    <w:rsid w:val="099879E4"/>
    <w:rsid w:val="0B1A4B2A"/>
    <w:rsid w:val="0C763ECD"/>
    <w:rsid w:val="1081433D"/>
    <w:rsid w:val="11130BC3"/>
    <w:rsid w:val="132C233E"/>
    <w:rsid w:val="137B32C6"/>
    <w:rsid w:val="14E35FF9"/>
    <w:rsid w:val="15863A14"/>
    <w:rsid w:val="159B19FD"/>
    <w:rsid w:val="19143FA0"/>
    <w:rsid w:val="197375C9"/>
    <w:rsid w:val="1D8316F5"/>
    <w:rsid w:val="20F20830"/>
    <w:rsid w:val="234670C7"/>
    <w:rsid w:val="2460143E"/>
    <w:rsid w:val="287A4275"/>
    <w:rsid w:val="28FB2A87"/>
    <w:rsid w:val="2A213241"/>
    <w:rsid w:val="2A691C72"/>
    <w:rsid w:val="2FE2B57D"/>
    <w:rsid w:val="303625F7"/>
    <w:rsid w:val="31EF0C95"/>
    <w:rsid w:val="32132BEF"/>
    <w:rsid w:val="32244DFC"/>
    <w:rsid w:val="3287538B"/>
    <w:rsid w:val="33E16D1D"/>
    <w:rsid w:val="36160F00"/>
    <w:rsid w:val="38CF548D"/>
    <w:rsid w:val="39FA28E7"/>
    <w:rsid w:val="3AA51255"/>
    <w:rsid w:val="3AAB31E3"/>
    <w:rsid w:val="3CD215D7"/>
    <w:rsid w:val="3E074F47"/>
    <w:rsid w:val="3E895BE0"/>
    <w:rsid w:val="3EC82FB3"/>
    <w:rsid w:val="40952E0A"/>
    <w:rsid w:val="43EC5A7C"/>
    <w:rsid w:val="48D32C81"/>
    <w:rsid w:val="4CDB0356"/>
    <w:rsid w:val="50197CB9"/>
    <w:rsid w:val="512851D7"/>
    <w:rsid w:val="514A5AAA"/>
    <w:rsid w:val="52B21B59"/>
    <w:rsid w:val="53D55AFF"/>
    <w:rsid w:val="546926EB"/>
    <w:rsid w:val="57460AC2"/>
    <w:rsid w:val="59747B68"/>
    <w:rsid w:val="5A750B68"/>
    <w:rsid w:val="5BAF6C35"/>
    <w:rsid w:val="5D4D2BAA"/>
    <w:rsid w:val="5D63417B"/>
    <w:rsid w:val="64CE2822"/>
    <w:rsid w:val="662B15AE"/>
    <w:rsid w:val="66B85C70"/>
    <w:rsid w:val="66DB4D83"/>
    <w:rsid w:val="69BF6BDD"/>
    <w:rsid w:val="6E2E7E8E"/>
    <w:rsid w:val="6F433E0D"/>
    <w:rsid w:val="6F885CC3"/>
    <w:rsid w:val="71235CA4"/>
    <w:rsid w:val="71663DE2"/>
    <w:rsid w:val="71DB3309"/>
    <w:rsid w:val="72800C43"/>
    <w:rsid w:val="72A42E14"/>
    <w:rsid w:val="72F13B80"/>
    <w:rsid w:val="78654DF4"/>
    <w:rsid w:val="79110AD8"/>
    <w:rsid w:val="79294073"/>
    <w:rsid w:val="7AE0643E"/>
    <w:rsid w:val="7C0B1D1A"/>
    <w:rsid w:val="7C921F30"/>
    <w:rsid w:val="7D313739"/>
    <w:rsid w:val="7DAB14FB"/>
    <w:rsid w:val="7F566049"/>
    <w:rsid w:val="BFBFD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3459</Words>
  <Characters>3646</Characters>
  <Lines>0</Lines>
  <Paragraphs>0</Paragraphs>
  <TotalTime>1</TotalTime>
  <ScaleCrop>false</ScaleCrop>
  <LinksUpToDate>false</LinksUpToDate>
  <CharactersWithSpaces>3646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2026-07-23T09:06:00Z</dcterms:created>
  <dc:creator>Administrator</dc:creator>
  <cp:lastModifiedBy>陈雅芬</cp:lastModifiedBy>
  <cp:lastPrinted>2026-07-30T02:34:00Z</cp:lastPrinted>
  <dcterms:modified xsi:type="dcterms:W3CDTF">2026-07-30T03:37:27Z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eyJoZGlkIjoiNDQwZTBkOTZiZDNiNzcyN2Y3ZTNlZDg1MGI0ODYwMTYiLCJ1c2VySWQiOiIyODAyNTk4OTQifQ==</vt:lpwstr>
  </property>
  <property fmtid="{D5CDD505-2E9C-101B-9397-08002B2CF9AE}" pid="4" name="ICV">
    <vt:lpwstr>88A5165969074E1E9358F9DF9E851BEF_13</vt:lpwstr>
  </property>
</Properties>
</file>