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6AC43">
      <w:pPr>
        <w:jc w:val="center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交投科创中心物业承接筹备阶段</w:t>
      </w:r>
    </w:p>
    <w:p w14:paraId="2C6F6306">
      <w:pPr>
        <w:jc w:val="center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相关方案思路</w:t>
      </w:r>
    </w:p>
    <w:p w14:paraId="7A9A9A6F">
      <w:pPr>
        <w:numPr>
          <w:ilvl w:val="0"/>
          <w:numId w:val="0"/>
        </w:numPr>
        <w:ind w:firstLine="2560" w:firstLineChars="800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（2026年8月28日）</w:t>
      </w:r>
    </w:p>
    <w:p w14:paraId="5D8EBD7F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AED3B89">
      <w:pPr>
        <w:numPr>
          <w:ilvl w:val="0"/>
          <w:numId w:val="1"/>
        </w:numPr>
        <w:ind w:firstLine="640" w:firstLineChars="20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关于物业人员安排</w:t>
      </w:r>
    </w:p>
    <w:p w14:paraId="28E1D4DF">
      <w:pPr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  1、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9月份，安排项目骨干（项目经理助手）、工程人员先期进场，开展现场摸排，摸清现场现状、原有人员履职情况，为后续人员承接打下基础。</w:t>
      </w:r>
    </w:p>
    <w:p w14:paraId="5F48C5F6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2、10月初，结合现场摸排结果，同时参考智慧公司意见，梳理拟保留的原有物业人员清单，优先稳定核心岗位。</w:t>
      </w:r>
    </w:p>
    <w:p w14:paraId="04F50405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3、由交投物业牵头、智慧公司协同配合，开展拟留用人员洽谈，争取原有骨干平稳接续；同步摸清人员意向，区分可留用、不愿续岗人员。</w:t>
      </w:r>
    </w:p>
    <w:p w14:paraId="215AB552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4、根据人员洽谈结果核算岗位缺口，缺口人员主要通过外包方式补充，少量关键岗位采用自有或外派（如工程、客服），保障团队配齐。</w:t>
      </w:r>
    </w:p>
    <w:p w14:paraId="284EBA5A">
      <w:pPr>
        <w:numPr>
          <w:ilvl w:val="0"/>
          <w:numId w:val="0"/>
        </w:numPr>
        <w:ind w:firstLine="640" w:firstLineChars="20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项目物业总配置人数不低于现有46人。薪酬遵循稳岗原则：原有留用人员薪资标准不降低，新增人员实行同岗同薪。</w:t>
      </w:r>
    </w:p>
    <w:p w14:paraId="44EDDEB3">
      <w:pPr>
        <w:numPr>
          <w:ilvl w:val="0"/>
          <w:numId w:val="1"/>
        </w:numPr>
        <w:ind w:left="0" w:leftChars="0" w:firstLine="640" w:firstLineChars="20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关于物业费等收取安排</w:t>
      </w:r>
    </w:p>
    <w:p w14:paraId="67A324A0">
      <w:pPr>
        <w:numPr>
          <w:ilvl w:val="0"/>
          <w:numId w:val="2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承接后项目收入来源维持原有四项：物业管理费、临停费分成、会议中心运营利润分成、园区增值服务收入。物业费单价、车位管理费标准保持不变，临停费分成、会议中心运营利润分成比例维持原有约定不变。增值服务待摸排现状后，优先延续原有业务品类，在此基础上研究拓展推广空间。</w:t>
      </w:r>
    </w:p>
    <w:p w14:paraId="56418D81">
      <w:pPr>
        <w:numPr>
          <w:ilvl w:val="0"/>
          <w:numId w:val="0"/>
        </w:numPr>
        <w:ind w:firstLine="640" w:firstLineChars="200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以上收费标准与分成比例维持不变的原因：项目人员配置总量不低于原有46人，留用人员薪酬不降低、新增人员实行同岗同薪，故人力成本不比现有园区物业公司低（甚至高），为良性发展，还需守住运营不亏本的底线。</w:t>
      </w:r>
    </w:p>
    <w:p w14:paraId="29A87DD6">
      <w:pPr>
        <w:numPr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3、增值服务实行平进平出（仅扣除相关税费），适度下调现有的增值服务定价，不以盈利为目标。</w:t>
      </w:r>
    </w:p>
    <w:p w14:paraId="1D1B46D5">
      <w:pPr>
        <w:numPr>
          <w:ilvl w:val="0"/>
          <w:numId w:val="1"/>
        </w:numPr>
        <w:ind w:left="0" w:leftChars="0" w:firstLine="640" w:firstLineChars="20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关于集团部门的联络对接</w:t>
      </w:r>
    </w:p>
    <w:p w14:paraId="4D054DFA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1、摸排现有联络机制：调研当前物业项目部与集团各相关部室的对接流程、沟通渠道、事项处置模式，做好承接衔接。</w:t>
      </w:r>
    </w:p>
    <w:p w14:paraId="35FEDEA4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2、厘清核心重点服务对象及权责边界：</w:t>
      </w:r>
    </w:p>
    <w:p w14:paraId="716C2303">
      <w:pPr>
        <w:numPr>
          <w:ilvl w:val="0"/>
          <w:numId w:val="0"/>
        </w:numPr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集团办公室：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统筹后勤相关工作，重点对接会务保障、集团办公区域保洁与绿化、食堂配套管理等事项；</w:t>
      </w:r>
    </w:p>
    <w:p w14:paraId="2EE9A420">
      <w:pPr>
        <w:numPr>
          <w:ilvl w:val="0"/>
          <w:numId w:val="0"/>
        </w:numPr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集团应急管理部：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统筹集团办公区域及整个园区安全管理、信访维稳、突发事件应急处置。物业配合落实园区日常安防巡查、门禁及车辆管控、消防隐患巡查、监控值守；遇讨薪、信访来访等突发情况，配合做好现场秩序维护、人员疏导、现场隔离、信息上报等现场处置工作。</w:t>
      </w:r>
    </w:p>
    <w:p w14:paraId="3B3D930D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3、主动对接走访：对接集团办公室、应急管理部相关领导，面对面沟通，明确各项服务标准、工作要求及联动处置流程。</w:t>
      </w:r>
    </w:p>
    <w:p w14:paraId="25D0D81E">
      <w:pPr>
        <w:numPr>
          <w:ilvl w:val="0"/>
          <w:numId w:val="0"/>
        </w:numPr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4、联动工作机制搭建：是否建立常态化联动工作机制、是否单独编制危机公关专项预案，以集团办公室、应急管理部需求为准，我方全力配合搭建、落地相关工作机制。</w:t>
      </w:r>
    </w:p>
    <w:p w14:paraId="4350D12E">
      <w:pPr>
        <w:numPr>
          <w:ilvl w:val="0"/>
          <w:numId w:val="1"/>
        </w:numPr>
        <w:ind w:left="0" w:leftChars="0" w:firstLine="640" w:firstLineChars="200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关于新老物业交接障碍处置要点</w:t>
      </w:r>
    </w:p>
    <w:p w14:paraId="442BEA66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1、前置原则：坚持先保园区安全运行、再处置交接争议，全程留痕、甲方见证、厘清前后权责，防范管理真空。</w:t>
      </w:r>
    </w:p>
    <w:p w14:paraId="78F392B6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2、即时上报：一旦出现交接受阻、原物业拒不配合、拒交资料/钥匙、甚至突发撤场等障碍，第一时间通报甲方。</w:t>
      </w:r>
    </w:p>
    <w:p w14:paraId="6884C36A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3、现场兜底管控：优先接管配电、消防、电梯等核心机房、门岗及车场，保障安防、基础运维、保洁等基本服务不断档，守住安全底线。</w:t>
      </w:r>
    </w:p>
    <w:p w14:paraId="03C13732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4、证据固化：在甲方见证下对现场现状、设备缺陷、资料缺失情况拍照录像，形成书面现状确认清单，签字留证，避免历史隐患责任不清。</w:t>
      </w:r>
    </w:p>
    <w:p w14:paraId="296F0DF4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5、分类处置交接卡点</w:t>
      </w:r>
    </w:p>
    <w:p w14:paraId="63D3D724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拒不移交图纸、台账等资料：先现场接管，同步函告对方限期补交，自行现场摸排重建设备点位台账；</w:t>
      </w:r>
    </w:p>
    <w:p w14:paraId="11F427F6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拒不移交钥匙：甲方现场见证、全程录像，按规范启封查验，登记后更换锁具；</w:t>
      </w:r>
    </w:p>
    <w:p w14:paraId="1DB28111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现场存在设施设备缺陷：形成问题清单，明确整改主体、时限，闭环跟踪。</w:t>
      </w:r>
    </w:p>
    <w:p w14:paraId="5D54F62E"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6、争议闭环：所有分歧以书面函件往来，过渡期落实重点设备加密巡检、24小时值守；后续汇总交接障碍及遗留问题形成专项报告，由甲方统筹协调追责。</w:t>
      </w:r>
    </w:p>
    <w:p w14:paraId="65151A5A">
      <w:pPr>
        <w:numPr>
          <w:ilvl w:val="0"/>
          <w:numId w:val="1"/>
        </w:numPr>
        <w:ind w:left="0" w:leftChars="0" w:firstLine="640" w:firstLineChars="200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关于园区公关危机预案（暂无）</w:t>
      </w:r>
    </w:p>
    <w:p w14:paraId="630187FF">
      <w:pPr>
        <w:numPr>
          <w:ilvl w:val="0"/>
          <w:numId w:val="0"/>
        </w:numPr>
        <w:ind w:firstLine="640" w:firstLineChars="20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六、关于园区智能化提升方案（暂无）</w:t>
      </w:r>
    </w:p>
    <w:p w14:paraId="04FDFBBC">
      <w:pPr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FCCD55B-BF06-4539-97F8-28AEE49EA8D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8185CAC7-4E0C-4BF8-9171-A46C8C5BFD76}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B026B18A-0243-4130-B3DE-487C750DC9C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0D17443B-61D3-4C90-8A7D-E69EEF8A202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C0A3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39F9B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539F9B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4AB08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50BF4"/>
    <w:multiLevelType w:val="singleLevel"/>
    <w:tmpl w:val="89650BF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CF6C555"/>
    <w:multiLevelType w:val="singleLevel"/>
    <w:tmpl w:val="FCF6C5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A23EF"/>
    <w:rsid w:val="025B2919"/>
    <w:rsid w:val="02FC0103"/>
    <w:rsid w:val="05AF5900"/>
    <w:rsid w:val="06DA4BFF"/>
    <w:rsid w:val="071A324D"/>
    <w:rsid w:val="08591B53"/>
    <w:rsid w:val="0935611C"/>
    <w:rsid w:val="0A5B6057"/>
    <w:rsid w:val="1145536B"/>
    <w:rsid w:val="138E2FF9"/>
    <w:rsid w:val="14172FEE"/>
    <w:rsid w:val="14264FE0"/>
    <w:rsid w:val="16491459"/>
    <w:rsid w:val="18CA6794"/>
    <w:rsid w:val="1B542D7A"/>
    <w:rsid w:val="267C13D7"/>
    <w:rsid w:val="268F2EB8"/>
    <w:rsid w:val="2F544C9F"/>
    <w:rsid w:val="355D23D3"/>
    <w:rsid w:val="36DF7AF3"/>
    <w:rsid w:val="372B2510"/>
    <w:rsid w:val="381E22EE"/>
    <w:rsid w:val="385775AE"/>
    <w:rsid w:val="3C0417FB"/>
    <w:rsid w:val="41A03D74"/>
    <w:rsid w:val="424A23EF"/>
    <w:rsid w:val="4BB723E6"/>
    <w:rsid w:val="4BD22418"/>
    <w:rsid w:val="4E571C5E"/>
    <w:rsid w:val="5438608E"/>
    <w:rsid w:val="58F20F01"/>
    <w:rsid w:val="59050C34"/>
    <w:rsid w:val="59C8705B"/>
    <w:rsid w:val="5A655703"/>
    <w:rsid w:val="5A84202D"/>
    <w:rsid w:val="5EB10F16"/>
    <w:rsid w:val="65E671BD"/>
    <w:rsid w:val="6CB5251A"/>
    <w:rsid w:val="6DE44E65"/>
    <w:rsid w:val="6E0077C5"/>
    <w:rsid w:val="6E5D3A88"/>
    <w:rsid w:val="7128150C"/>
    <w:rsid w:val="71CA5489"/>
    <w:rsid w:val="72402885"/>
    <w:rsid w:val="77576417"/>
    <w:rsid w:val="7956459D"/>
    <w:rsid w:val="798A5C76"/>
    <w:rsid w:val="7CDE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418</Characters>
  <Lines>0</Lines>
  <Paragraphs>0</Paragraphs>
  <TotalTime>14</TotalTime>
  <ScaleCrop>false</ScaleCrop>
  <LinksUpToDate>false</LinksUpToDate>
  <CharactersWithSpaces>422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2026-08-28T07:17:00Z</dcterms:created>
  <dc:creator>袁彩霞</dc:creator>
  <cp:lastModifiedBy>袁彩霞</cp:lastModifiedBy>
  <dcterms:modified xsi:type="dcterms:W3CDTF">2026-08-28T14:23:40Z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41F2151023A6416DAF52FB8A5DD9E9C0_11</vt:lpwstr>
  </property>
  <property fmtid="{D5CDD505-2E9C-101B-9397-08002B2CF9AE}" pid="4" name="KSOTemplateDocerSaveRecord">
    <vt:lpwstr>eyJoZGlkIjoiNDUwMTFkMDI3ZjBmZjczM2Q3M2EwOGI5M2VjYzUzMDkiLCJ1c2VySWQiOiIzMTA5NzU2NDUifQ==</vt:lpwstr>
  </property>
</Properties>
</file>